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442000107-2022-00898</w:t>
      </w:r>
    </w:p>
    <w:p>
      <w:pPr>
        <w:jc w:val="center"/>
      </w:pPr>
      <w:r>
        <w:rPr>
          <w:b/>
          <w:sz w:val="24"/>
        </w:rPr>
        <w:t>采购项目编号：</w:t>
      </w:r>
      <w:r>
        <w:rPr>
          <w:b/>
          <w:sz w:val="24"/>
        </w:rPr>
        <w:t>ZSJD22ZC0106</w:t>
      </w:r>
    </w:p>
    <w:p>
      <w:pPr>
        <w:jc w:val="center"/>
      </w:pPr>
      <w:r>
        <w:rPr>
          <w:b/>
          <w:sz w:val="24"/>
        </w:rPr>
        <w:t>项目名称：</w:t>
      </w:r>
      <w:r>
        <w:rPr>
          <w:b/>
          <w:sz w:val="24"/>
        </w:rPr>
        <w:t>中山市坦洲人民医院安保服务（2022年12月1日至2025年11月30日）</w:t>
      </w:r>
    </w:p>
    <w:p>
      <w:pPr>
        <w:jc w:val="center"/>
      </w:pPr>
      <w:r>
        <w:rPr>
          <w:b/>
          <w:sz w:val="24"/>
        </w:rPr>
        <w:t>采购人：</w:t>
      </w:r>
      <w:r>
        <w:rPr>
          <w:b/>
          <w:sz w:val="24"/>
        </w:rPr>
        <w:t>中山市坦洲人民医院</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中山市坦洲人民医院</w:t>
      </w:r>
      <w:r>
        <w:rPr/>
        <w:t>的委托，采用</w:t>
      </w:r>
      <w:r>
        <w:rPr/>
        <w:t>公开招标</w:t>
      </w:r>
      <w:r>
        <w:rPr/>
        <w:t>方式组织采购</w:t>
      </w:r>
      <w:r>
        <w:rPr/>
        <w:t>中山市坦洲人民医院安保服务（2022年12月1日至2025年11月30日）</w:t>
      </w:r>
      <w:r>
        <w:rPr/>
        <w:t>。欢迎符合资格条件的国内供应商参加投标。</w:t>
      </w:r>
    </w:p>
    <w:p>
      <w:r>
        <w:rPr>
          <w:b/>
          <w:sz w:val="28"/>
        </w:rPr>
        <w:t>一.项目概述</w:t>
      </w:r>
    </w:p>
    <w:p>
      <w:r>
        <w:rPr>
          <w:b/>
          <w:sz w:val="24"/>
        </w:rPr>
        <w:t>1.名称与编号</w:t>
      </w:r>
    </w:p>
    <w:p>
      <w:pPr>
        <w:ind w:firstLine="480"/>
      </w:pPr>
      <w:r>
        <w:rPr/>
        <w:t>项目名称：</w:t>
      </w:r>
      <w:r>
        <w:rPr/>
        <w:t>中山市坦洲人民医院安保服务（2022年12月1日至2025年11月30日）</w:t>
      </w:r>
    </w:p>
    <w:p>
      <w:pPr>
        <w:ind w:firstLine="480"/>
      </w:pPr>
      <w:r>
        <w:rPr/>
        <w:t>采购计划编号：</w:t>
      </w:r>
      <w:r>
        <w:rPr/>
        <w:t>442000107-2022-00898</w:t>
      </w:r>
    </w:p>
    <w:p>
      <w:pPr>
        <w:ind w:firstLine="480"/>
      </w:pPr>
      <w:r>
        <w:rPr/>
        <w:t>采购项目编号：</w:t>
      </w:r>
      <w:r>
        <w:rPr/>
        <w:t>ZSJD22ZC0106</w:t>
      </w:r>
    </w:p>
    <w:p>
      <w:pPr>
        <w:ind w:firstLine="480"/>
      </w:pPr>
      <w:r>
        <w:rPr/>
        <w:t>采购方式：</w:t>
      </w:r>
      <w:r>
        <w:rPr/>
        <w:t>公开招标</w:t>
      </w:r>
    </w:p>
    <w:p>
      <w:pPr>
        <w:ind w:firstLine="480"/>
      </w:pPr>
      <w:r>
        <w:rPr/>
        <w:t>预算金额：</w:t>
      </w:r>
      <w:r>
        <w:rPr/>
        <w:t>3,693,600.00</w:t>
      </w:r>
      <w:r>
        <w:rPr/>
        <w:t>元</w:t>
      </w:r>
    </w:p>
    <w:p>
      <w:r>
        <w:rPr>
          <w:b/>
          <w:sz w:val="24"/>
        </w:rPr>
        <w:t>2.项目内容及需求情况（采购项目技术规格、参数及要求）</w:t>
      </w:r>
    </w:p>
    <w:p>
      <w:pPr>
        <w:ind w:firstLine="480"/>
      </w:pPr>
    </w:p>
    <w:p/>
    <w:p>
      <w:r>
        <w:rPr/>
        <w:t>采购包1(中山市坦洲人民医院安保服务（2022年12月1日至2025年11月30日）):</w:t>
      </w:r>
    </w:p>
    <w:p>
      <w:r>
        <w:rPr/>
        <w:t>采购包预算金额：3,693,600.00元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安全服务</w:t>
            </w:r>
          </w:p>
        </w:tc>
        <w:tc>
          <w:tcPr>
            <w:tcW w:type="dxa" w:w="2136"/>
          </w:tcPr>
          <w:p>
            <w:r>
              <w:rPr/>
              <w:t>中山市坦洲人民医院安保服务</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合同履行期限：三年（2022年12月1日至2025年11月30日），合同一年一签。</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3）具有良好的商业信誉和健全的财务会计制度：投标时提供2020年度财务状况报告或2021年以来任何一个月的财务报表或基本开户行出具的资信证明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采购包1（中山市坦洲人民医院安保服务（2022年12月1日至2025年11月30日））：</w:t>
      </w:r>
      <w:r>
        <w:rPr/>
        <w:t>参与的供应商（联合体）服务全部由符合政策要求的中小企业承接</w:t>
      </w:r>
    </w:p>
    <w:p/>
    <w:p>
      <w:r>
        <w:rPr>
          <w:b/>
          <w:sz w:val="24"/>
        </w:rPr>
        <w:t>3.本项目特定的资格要求：</w:t>
      </w:r>
    </w:p>
    <w:p>
      <w:pPr>
        <w:ind w:firstLine="480"/>
      </w:pPr>
    </w:p>
    <w:p/>
    <w:p>
      <w:r>
        <w:rPr/>
        <w:t>采购包1（中山市坦洲人民医院安保服务（2022年12月1日至2025年11月30日））：</w:t>
      </w:r>
    </w:p>
    <w:p/>
    <w:p>
      <w:r>
        <w:rPr/>
        <w:t>1)投标人具有省、自治区、直辖市人民政府公安机关核发的《保安服务许可证》并在投标文件中提供证书复印件。</w:t>
      </w:r>
    </w:p>
    <w:p/>
    <w:p>
      <w:r>
        <w:rPr/>
        <w:t>2)采购人或采购代理机构将通过“信用中国”网站（www.creditchina.gov.cn）及中国政府采购网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3)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中山市坦洲人民医院</w:t>
      </w:r>
    </w:p>
    <w:p>
      <w:pPr>
        <w:ind w:firstLine="480"/>
      </w:pPr>
      <w:r>
        <w:rPr/>
        <w:t>地址：</w:t>
      </w:r>
      <w:r>
        <w:rPr/>
        <w:t>中山市坦洲镇德秀路10号</w:t>
      </w:r>
    </w:p>
    <w:p>
      <w:pPr>
        <w:ind w:firstLine="480"/>
      </w:pPr>
      <w:r>
        <w:rPr/>
        <w:t>联系方式：</w:t>
      </w:r>
      <w:r>
        <w:rPr/>
        <w:t>0760-23639966</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李先生</w:t>
      </w:r>
    </w:p>
    <w:p>
      <w:pPr>
        <w:ind w:firstLine="480"/>
      </w:pPr>
      <w:r>
        <w:rPr/>
        <w:t>电话：</w:t>
      </w:r>
      <w:r>
        <w:rPr/>
        <w:t>0760-88399895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both"/>
      </w:pPr>
      <w:r>
        <w:rPr>
          <w:b/>
          <w:sz w:val="21"/>
        </w:rPr>
        <w:t>一、服务内容</w:t>
      </w:r>
    </w:p>
    <w:p>
      <w:pPr>
        <w:ind w:firstLine="420"/>
        <w:jc w:val="both"/>
      </w:pPr>
      <w:r>
        <w:rPr>
          <w:sz w:val="21"/>
        </w:rPr>
        <w:t>1.巡逻服务</w:t>
      </w:r>
    </w:p>
    <w:p>
      <w:pPr>
        <w:ind w:firstLine="420"/>
        <w:jc w:val="both"/>
      </w:pPr>
      <w:r>
        <w:rPr>
          <w:sz w:val="21"/>
        </w:rPr>
        <w:t>1.1保安巡逻人员必须按照医院要求对院内区域每二小时进行一次消防、治安、高空坠物风险等安全巡查，并记录相关情况。</w:t>
      </w:r>
    </w:p>
    <w:p>
      <w:pPr>
        <w:ind w:firstLine="420"/>
        <w:jc w:val="both"/>
      </w:pPr>
      <w:r>
        <w:rPr>
          <w:sz w:val="21"/>
        </w:rPr>
        <w:t>1.2 检查、发现、报告并及时消除各种安全隐患。防止火灾、爆炸等事故以及抢劫、盗窃等不法侵害案件的发生。</w:t>
      </w:r>
    </w:p>
    <w:p>
      <w:pPr>
        <w:ind w:firstLine="420"/>
        <w:jc w:val="both"/>
      </w:pPr>
      <w:r>
        <w:rPr>
          <w:sz w:val="21"/>
        </w:rPr>
        <w:t>1.3 在巡逻过程中，对预测将要发生或已经发生的不法侵害案件(例如:医患纠纷、突发事件等)或灾害事故，应及时阻止事态发展保护工作人员和现场并同时报告公安机关或有关部门。</w:t>
      </w:r>
    </w:p>
    <w:p>
      <w:pPr>
        <w:ind w:firstLine="420"/>
        <w:jc w:val="both"/>
      </w:pPr>
      <w:r>
        <w:rPr>
          <w:sz w:val="21"/>
        </w:rPr>
        <w:t>1.4维持好院内区域内大门口的机动车包括汽车、摩托车、电动自行车、非机动车及院内车辆停放地的秩序。</w:t>
      </w:r>
    </w:p>
    <w:p>
      <w:pPr>
        <w:ind w:firstLine="420"/>
        <w:jc w:val="both"/>
      </w:pPr>
      <w:r>
        <w:rPr>
          <w:sz w:val="21"/>
        </w:rPr>
        <w:t>2.门卫服务</w:t>
      </w:r>
    </w:p>
    <w:p>
      <w:pPr>
        <w:ind w:firstLine="420"/>
        <w:jc w:val="both"/>
      </w:pPr>
      <w:r>
        <w:rPr>
          <w:sz w:val="21"/>
        </w:rPr>
        <w:t>2.1保安人员对医院出入口进行把守，必要时对出入人员和车辆进行查验，排除安全风险，确保医院安全。</w:t>
      </w:r>
    </w:p>
    <w:p>
      <w:pPr>
        <w:ind w:firstLine="420"/>
        <w:jc w:val="both"/>
      </w:pPr>
      <w:r>
        <w:rPr>
          <w:sz w:val="21"/>
        </w:rPr>
        <w:t>2.2根据采购人的要求，对出入医院出入口车辆携带或装运的物品进行查验，防止单位财物流失。</w:t>
      </w:r>
    </w:p>
    <w:p>
      <w:pPr>
        <w:ind w:firstLine="420"/>
        <w:jc w:val="both"/>
      </w:pPr>
      <w:r>
        <w:rPr>
          <w:sz w:val="21"/>
        </w:rPr>
        <w:t>2.3指挥、疏导出入车辆，清理无关人员，维护出入口的正常秩序。</w:t>
      </w:r>
    </w:p>
    <w:p>
      <w:pPr>
        <w:ind w:firstLine="420"/>
        <w:jc w:val="both"/>
      </w:pPr>
      <w:r>
        <w:rPr>
          <w:sz w:val="21"/>
        </w:rPr>
        <w:t>2.4维持医院出入口营运摩托车及其他交通工具的交通秩序。</w:t>
      </w:r>
    </w:p>
    <w:p>
      <w:pPr>
        <w:ind w:firstLine="420"/>
        <w:jc w:val="both"/>
      </w:pPr>
      <w:r>
        <w:rPr>
          <w:sz w:val="21"/>
        </w:rPr>
        <w:t>2.5 及时发现不法行为人，截获赃物，做好治安防范工作。</w:t>
      </w:r>
    </w:p>
    <w:p>
      <w:pPr>
        <w:ind w:firstLine="420"/>
        <w:jc w:val="both"/>
      </w:pPr>
      <w:r>
        <w:rPr>
          <w:sz w:val="21"/>
        </w:rPr>
        <w:t>2.6监控室内有专人24小时值班，负责管理电子监控系统。</w:t>
      </w:r>
    </w:p>
    <w:p>
      <w:pPr>
        <w:ind w:firstLine="420"/>
        <w:jc w:val="both"/>
      </w:pPr>
      <w:r>
        <w:rPr>
          <w:sz w:val="21"/>
        </w:rPr>
        <w:t>2.7协助采购人做好来访登记工作。</w:t>
      </w:r>
    </w:p>
    <w:p>
      <w:pPr>
        <w:ind w:firstLine="420"/>
        <w:jc w:val="both"/>
      </w:pPr>
      <w:r>
        <w:rPr>
          <w:sz w:val="21"/>
        </w:rPr>
        <w:t>3.守护服务</w:t>
      </w:r>
    </w:p>
    <w:p>
      <w:pPr>
        <w:ind w:firstLine="420"/>
        <w:jc w:val="both"/>
      </w:pPr>
      <w:r>
        <w:rPr>
          <w:sz w:val="21"/>
        </w:rPr>
        <w:t>3.1 保安人员对采购人进行看护和守卫,保卫采购人财产安全和工作人员安全。</w:t>
      </w:r>
    </w:p>
    <w:p>
      <w:pPr>
        <w:ind w:firstLine="420"/>
        <w:jc w:val="both"/>
      </w:pPr>
      <w:r>
        <w:rPr>
          <w:sz w:val="21"/>
        </w:rPr>
        <w:t>3.2维护守卫区域的正常运行秩序（包括但不仅限于医疗秩序）,及时制止无关人员进入守卫范围。</w:t>
      </w:r>
    </w:p>
    <w:p>
      <w:pPr>
        <w:ind w:firstLine="420"/>
        <w:jc w:val="both"/>
      </w:pPr>
      <w:r>
        <w:rPr>
          <w:sz w:val="21"/>
        </w:rPr>
        <w:t>3.3做好防汛、防火、防盗、防抢、防爆炸等工作。</w:t>
      </w:r>
    </w:p>
    <w:p>
      <w:pPr>
        <w:ind w:firstLine="420"/>
        <w:jc w:val="both"/>
      </w:pPr>
      <w:r>
        <w:rPr>
          <w:sz w:val="21"/>
        </w:rPr>
        <w:t>3.4 如有大型活动，要有慎密安防计划并提供安保服务。</w:t>
      </w:r>
    </w:p>
    <w:p>
      <w:pPr>
        <w:ind w:firstLine="420"/>
        <w:jc w:val="both"/>
      </w:pPr>
      <w:r>
        <w:rPr>
          <w:sz w:val="21"/>
        </w:rPr>
        <w:t>4.协助采购人落实消防安全管理工作</w:t>
      </w:r>
    </w:p>
    <w:p>
      <w:pPr>
        <w:ind w:firstLine="420"/>
        <w:jc w:val="both"/>
      </w:pPr>
      <w:r>
        <w:rPr>
          <w:sz w:val="21"/>
        </w:rPr>
        <w:t>4.1 24小时监控各视频监控画面,观察和聆听消防主机的报警信息，发现不正常情况及时通知相关人员处理，禁止在工作中玩手机、看报纸、闲聊等与工作无关的事项，不得擅自离岗。</w:t>
      </w:r>
    </w:p>
    <w:p>
      <w:pPr>
        <w:ind w:firstLine="420"/>
        <w:jc w:val="both"/>
      </w:pPr>
      <w:r>
        <w:rPr>
          <w:sz w:val="21"/>
        </w:rPr>
        <w:t>4.2 发生火灾时,及时报警,操作消防设施协助灭火和应急疏散人员。</w:t>
      </w:r>
    </w:p>
    <w:p>
      <w:pPr>
        <w:ind w:firstLine="420"/>
        <w:jc w:val="both"/>
      </w:pPr>
      <w:r>
        <w:rPr>
          <w:sz w:val="21"/>
        </w:rPr>
        <w:t>4.3每班人员上岗前要对消防主机和视频监控设备进行运行检查，发现故障及时报修。</w:t>
      </w:r>
    </w:p>
    <w:p>
      <w:pPr>
        <w:ind w:firstLine="420"/>
        <w:jc w:val="both"/>
      </w:pPr>
      <w:r>
        <w:rPr>
          <w:sz w:val="21"/>
        </w:rPr>
        <w:t>4.4确保医院微型消防站的消防和安防器材完好有效，不丢失。</w:t>
      </w:r>
    </w:p>
    <w:p>
      <w:pPr>
        <w:ind w:firstLine="420"/>
        <w:jc w:val="both"/>
      </w:pPr>
      <w:r>
        <w:rPr>
          <w:sz w:val="21"/>
        </w:rPr>
        <w:t>4.5按照医院规定及合法途径提供视频监控信息给相关需要人员并做好记录。</w:t>
      </w:r>
    </w:p>
    <w:p>
      <w:pPr>
        <w:ind w:firstLine="420"/>
        <w:jc w:val="both"/>
      </w:pPr>
      <w:r>
        <w:rPr>
          <w:sz w:val="21"/>
        </w:rPr>
        <w:t>4.6协助做好消防设施、器材维护检查保养工作。检查消防通道及门窗，确保消防通道畅通；检查一般消防器材表面有无损坏等。</w:t>
      </w:r>
    </w:p>
    <w:p>
      <w:pPr>
        <w:ind w:firstLine="420"/>
        <w:jc w:val="both"/>
      </w:pPr>
      <w:r>
        <w:rPr>
          <w:sz w:val="21"/>
        </w:rPr>
        <w:t>4.7成立义务消防队，随时应付火险;火灾报警时需进行现场排查。</w:t>
      </w:r>
    </w:p>
    <w:p>
      <w:pPr>
        <w:ind w:firstLine="420"/>
        <w:jc w:val="both"/>
      </w:pPr>
      <w:r>
        <w:rPr>
          <w:sz w:val="21"/>
        </w:rPr>
        <w:t>4.8协助采购人做好单位工作人员的安全宣教工作。</w:t>
      </w:r>
    </w:p>
    <w:p>
      <w:pPr>
        <w:ind w:firstLine="420"/>
        <w:jc w:val="both"/>
      </w:pPr>
      <w:r>
        <w:rPr>
          <w:sz w:val="21"/>
        </w:rPr>
        <w:t>5.停车收费管理服务</w:t>
      </w:r>
    </w:p>
    <w:p>
      <w:pPr>
        <w:ind w:firstLine="420"/>
        <w:jc w:val="both"/>
      </w:pPr>
      <w:r>
        <w:rPr>
          <w:sz w:val="21"/>
        </w:rPr>
        <w:t>5.1负责出口的管理工作</w:t>
      </w:r>
    </w:p>
    <w:p>
      <w:pPr>
        <w:ind w:firstLine="420"/>
        <w:jc w:val="both"/>
      </w:pPr>
      <w:r>
        <w:rPr>
          <w:sz w:val="21"/>
        </w:rPr>
        <w:t>5.2安排管理人员负责停车场的停车收费服务。</w:t>
      </w:r>
    </w:p>
    <w:p>
      <w:pPr>
        <w:ind w:firstLine="420"/>
        <w:jc w:val="both"/>
      </w:pPr>
      <w:r>
        <w:rPr>
          <w:sz w:val="21"/>
        </w:rPr>
        <w:t>6.其他</w:t>
      </w:r>
    </w:p>
    <w:p>
      <w:pPr>
        <w:ind w:firstLine="420"/>
        <w:jc w:val="both"/>
      </w:pPr>
      <w:r>
        <w:rPr>
          <w:sz w:val="21"/>
        </w:rPr>
        <w:t>6.1.负责各报纸杂志派发。</w:t>
      </w:r>
    </w:p>
    <w:p>
      <w:pPr>
        <w:ind w:firstLine="420"/>
        <w:jc w:val="both"/>
      </w:pPr>
      <w:r>
        <w:rPr>
          <w:sz w:val="21"/>
        </w:rPr>
        <w:t>6.2 采购人有权力要求供应商在不违法的前提下，必须随叫随到。</w:t>
      </w:r>
    </w:p>
    <w:p>
      <w:pPr>
        <w:ind w:firstLine="420"/>
        <w:jc w:val="both"/>
      </w:pPr>
      <w:r>
        <w:rPr>
          <w:sz w:val="21"/>
        </w:rPr>
        <w:t>6.3 采购人临时交办的其它力所能及的事情。</w:t>
      </w:r>
    </w:p>
    <w:p>
      <w:pPr>
        <w:ind w:firstLine="420"/>
        <w:jc w:val="both"/>
      </w:pPr>
      <w:r>
        <w:rPr>
          <w:sz w:val="21"/>
        </w:rPr>
        <w:t>6.4协助做好车棚内充电设施设备的维护与管理。</w:t>
      </w:r>
    </w:p>
    <w:p>
      <w:pPr>
        <w:ind w:firstLine="422"/>
        <w:jc w:val="both"/>
      </w:pPr>
      <w:r>
        <w:rPr>
          <w:b/>
          <w:sz w:val="21"/>
        </w:rPr>
        <w:t>二、岗位配置</w:t>
      </w:r>
    </w:p>
    <w:p>
      <w:pPr>
        <w:ind w:firstLine="420"/>
        <w:jc w:val="both"/>
      </w:pPr>
      <w:r>
        <w:rPr>
          <w:sz w:val="21"/>
        </w:rPr>
        <w:t>详见《新采购安保服务保安人员工作岗位配置表》及《车辆出口工作岗位配置表》。</w:t>
      </w:r>
    </w:p>
    <w:p>
      <w:pPr>
        <w:ind w:firstLine="425"/>
        <w:jc w:val="both"/>
      </w:pPr>
      <w:r>
        <w:rPr>
          <w:sz w:val="21"/>
        </w:rPr>
        <w:t>新采购安保服务保安人员工作岗位配置表</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vAlign w:val="top"/>
          </w:tcPr>
          <w:p>
            <w:pPr>
              <w:jc w:val="center"/>
            </w:pPr>
          </w:p>
        </w:tc>
        <w:tc>
          <w:tcPr>
            <w:tcW w:type="dxa" w:w="1661"/>
            <w:tcBorders>
              <w:top w:val="single" w:color="000000" w:sz="4"/>
              <w:left w:val="single" w:color="000000" w:sz="4"/>
              <w:bottom w:val="single" w:color="000000" w:sz="4"/>
              <w:right w:val="single" w:color="000000" w:sz="4"/>
            </w:tcBorders>
            <w:vAlign w:val="top"/>
          </w:tcPr>
          <w:p>
            <w:pPr>
              <w:jc w:val="center"/>
            </w:pPr>
            <w:r>
              <w:rPr>
                <w:sz w:val="21"/>
              </w:rPr>
              <w:t>8</w:t>
            </w:r>
            <w:r>
              <w:rPr>
                <w:sz w:val="21"/>
              </w:rPr>
              <w:t>：</w:t>
            </w:r>
            <w:r>
              <w:rPr>
                <w:sz w:val="21"/>
              </w:rPr>
              <w:t>00-16</w:t>
            </w:r>
            <w:r>
              <w:rPr>
                <w:sz w:val="21"/>
              </w:rPr>
              <w:t>：</w:t>
            </w:r>
            <w:r>
              <w:rPr>
                <w:sz w:val="21"/>
              </w:rPr>
              <w:t>00</w:t>
            </w:r>
          </w:p>
        </w:tc>
        <w:tc>
          <w:tcPr>
            <w:tcW w:type="dxa" w:w="1661"/>
            <w:tcBorders>
              <w:top w:val="single" w:color="000000" w:sz="4"/>
              <w:left w:val="single" w:color="000000" w:sz="4"/>
              <w:bottom w:val="single" w:color="000000" w:sz="4"/>
              <w:right w:val="single" w:color="000000" w:sz="4"/>
            </w:tcBorders>
            <w:vAlign w:val="top"/>
          </w:tcPr>
          <w:p>
            <w:pPr>
              <w:jc w:val="center"/>
            </w:pPr>
            <w:r>
              <w:rPr>
                <w:sz w:val="21"/>
              </w:rPr>
              <w:t>16</w:t>
            </w:r>
            <w:r>
              <w:rPr>
                <w:sz w:val="21"/>
              </w:rPr>
              <w:t>：</w:t>
            </w:r>
            <w:r>
              <w:rPr>
                <w:sz w:val="21"/>
              </w:rPr>
              <w:t>00-0</w:t>
            </w:r>
            <w:r>
              <w:rPr>
                <w:sz w:val="21"/>
              </w:rPr>
              <w:t>：</w:t>
            </w:r>
            <w:r>
              <w:rPr>
                <w:sz w:val="21"/>
              </w:rPr>
              <w:t>00</w:t>
            </w:r>
          </w:p>
        </w:tc>
        <w:tc>
          <w:tcPr>
            <w:tcW w:type="dxa" w:w="1661"/>
            <w:tcBorders>
              <w:top w:val="single" w:color="000000" w:sz="4"/>
              <w:left w:val="single" w:color="000000" w:sz="4"/>
              <w:bottom w:val="single" w:color="000000" w:sz="4"/>
              <w:right w:val="single" w:color="000000" w:sz="4"/>
            </w:tcBorders>
            <w:vAlign w:val="top"/>
          </w:tcPr>
          <w:p>
            <w:pPr>
              <w:jc w:val="center"/>
            </w:pPr>
            <w:r>
              <w:rPr>
                <w:sz w:val="21"/>
              </w:rPr>
              <w:t>0</w:t>
            </w:r>
            <w:r>
              <w:rPr>
                <w:sz w:val="21"/>
              </w:rPr>
              <w:t>：</w:t>
            </w:r>
            <w:r>
              <w:rPr>
                <w:sz w:val="21"/>
              </w:rPr>
              <w:t>00-8</w:t>
            </w:r>
            <w:r>
              <w:rPr>
                <w:sz w:val="21"/>
              </w:rPr>
              <w:t>：</w:t>
            </w:r>
            <w:r>
              <w:rPr>
                <w:sz w:val="21"/>
              </w:rPr>
              <w:t>00</w:t>
            </w:r>
          </w:p>
        </w:tc>
        <w:tc>
          <w:tcPr>
            <w:tcW w:type="dxa" w:w="1661"/>
            <w:tcBorders>
              <w:top w:val="single" w:color="000000" w:sz="4"/>
              <w:left w:val="single" w:color="000000" w:sz="4"/>
              <w:bottom w:val="single" w:color="000000" w:sz="4"/>
              <w:right w:val="single" w:color="000000" w:sz="4"/>
            </w:tcBorders>
            <w:vAlign w:val="top"/>
          </w:tcPr>
          <w:p>
            <w:pPr>
              <w:jc w:val="center"/>
            </w:pPr>
            <w:r>
              <w:rPr>
                <w:sz w:val="21"/>
              </w:rPr>
              <w:t>小计</w:t>
            </w:r>
            <w:r>
              <w:rPr>
                <w:sz w:val="21"/>
              </w:rPr>
              <w:t>（人）</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消防控制室</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6</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发热门诊出入口</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6</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全院停车管理及治安巡逻</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6</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大堂门口（含采样区）</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0</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0</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急诊门口（含采样区）</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机动顶班</w:t>
            </w:r>
          </w:p>
        </w:tc>
        <w:tc>
          <w:tcPr>
            <w:tcW w:type="dxa" w:w="4983"/>
            <w:gridSpan w:val="3"/>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4</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队长</w:t>
            </w:r>
          </w:p>
        </w:tc>
        <w:tc>
          <w:tcPr>
            <w:tcW w:type="dxa" w:w="4983"/>
            <w:gridSpan w:val="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6644"/>
            <w:gridSpan w:val="4"/>
            <w:tcBorders>
              <w:top w:val="none" w:color="000000" w:sz="4"/>
              <w:left w:val="single" w:color="000000" w:sz="4"/>
              <w:bottom w:val="single" w:color="000000" w:sz="4"/>
              <w:right w:val="single" w:color="000000" w:sz="4"/>
            </w:tcBorders>
            <w:vAlign w:val="top"/>
          </w:tcPr>
          <w:p>
            <w:pPr>
              <w:jc w:val="center"/>
            </w:pPr>
            <w:r>
              <w:rPr>
                <w:b/>
                <w:color w:val="000000"/>
                <w:sz w:val="21"/>
              </w:rPr>
              <w:t>合计</w:t>
            </w:r>
          </w:p>
        </w:tc>
        <w:tc>
          <w:tcPr>
            <w:tcW w:type="dxa" w:w="1661"/>
            <w:tcBorders>
              <w:top w:val="none" w:color="000000" w:sz="4"/>
              <w:left w:val="single" w:color="000000" w:sz="4"/>
              <w:bottom w:val="single" w:color="000000" w:sz="4"/>
              <w:right w:val="single" w:color="000000" w:sz="4"/>
            </w:tcBorders>
            <w:vAlign w:val="top"/>
          </w:tcPr>
          <w:p>
            <w:pPr>
              <w:jc w:val="center"/>
            </w:pPr>
            <w:r>
              <w:rPr>
                <w:b/>
                <w:color w:val="000000"/>
                <w:sz w:val="21"/>
              </w:rPr>
              <w:t>27</w:t>
            </w:r>
          </w:p>
        </w:tc>
      </w:tr>
    </w:tbl>
    <w:p>
      <w:pPr>
        <w:jc w:val="center"/>
      </w:pPr>
    </w:p>
    <w:p>
      <w:pPr>
        <w:jc w:val="both"/>
      </w:pPr>
      <w:r>
        <w:rPr>
          <w:sz w:val="21"/>
        </w:rPr>
        <w:t>车辆出口工作岗位配置表</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vAlign w:val="top"/>
          </w:tcPr>
          <w:p>
            <w:pPr>
              <w:jc w:val="center"/>
            </w:pPr>
            <w:r>
              <w:rPr>
                <w:color w:val="000000"/>
                <w:sz w:val="21"/>
              </w:rPr>
              <w:t>班次</w:t>
            </w:r>
          </w:p>
        </w:tc>
        <w:tc>
          <w:tcPr>
            <w:tcW w:type="dxa" w:w="1661"/>
            <w:tcBorders>
              <w:top w:val="single" w:color="000000" w:sz="4"/>
              <w:left w:val="single" w:color="000000" w:sz="4"/>
              <w:bottom w:val="single" w:color="000000" w:sz="4"/>
              <w:right w:val="single" w:color="000000" w:sz="4"/>
            </w:tcBorders>
            <w:vAlign w:val="top"/>
          </w:tcPr>
          <w:p>
            <w:pPr>
              <w:jc w:val="center"/>
            </w:pPr>
            <w:r>
              <w:rPr>
                <w:color w:val="000000"/>
                <w:sz w:val="21"/>
              </w:rPr>
              <w:t>8：00-16：00</w:t>
            </w:r>
          </w:p>
        </w:tc>
        <w:tc>
          <w:tcPr>
            <w:tcW w:type="dxa" w:w="1661"/>
            <w:tcBorders>
              <w:top w:val="single" w:color="000000" w:sz="4"/>
              <w:left w:val="single" w:color="000000" w:sz="4"/>
              <w:bottom w:val="single" w:color="000000" w:sz="4"/>
              <w:right w:val="single" w:color="000000" w:sz="4"/>
            </w:tcBorders>
            <w:vAlign w:val="top"/>
          </w:tcPr>
          <w:p>
            <w:pPr>
              <w:jc w:val="center"/>
            </w:pPr>
            <w:r>
              <w:rPr>
                <w:color w:val="000000"/>
                <w:sz w:val="21"/>
              </w:rPr>
              <w:t>16：00-00：00</w:t>
            </w:r>
          </w:p>
        </w:tc>
        <w:tc>
          <w:tcPr>
            <w:tcW w:type="dxa" w:w="1661"/>
            <w:tcBorders>
              <w:top w:val="single" w:color="000000" w:sz="4"/>
              <w:left w:val="single" w:color="000000" w:sz="4"/>
              <w:bottom w:val="single" w:color="000000" w:sz="4"/>
              <w:right w:val="single" w:color="000000" w:sz="4"/>
            </w:tcBorders>
            <w:vAlign w:val="top"/>
          </w:tcPr>
          <w:p>
            <w:pPr>
              <w:jc w:val="center"/>
            </w:pPr>
            <w:r>
              <w:rPr>
                <w:color w:val="000000"/>
                <w:sz w:val="21"/>
              </w:rPr>
              <w:t>00：00-8：00</w:t>
            </w:r>
          </w:p>
        </w:tc>
        <w:tc>
          <w:tcPr>
            <w:tcW w:type="dxa" w:w="1661"/>
            <w:tcBorders>
              <w:top w:val="single" w:color="000000" w:sz="4"/>
              <w:left w:val="single" w:color="000000" w:sz="4"/>
              <w:bottom w:val="single" w:color="000000" w:sz="4"/>
              <w:right w:val="single" w:color="000000" w:sz="4"/>
            </w:tcBorders>
            <w:vAlign w:val="top"/>
          </w:tcPr>
          <w:p>
            <w:pPr>
              <w:jc w:val="center"/>
            </w:pPr>
            <w:r>
              <w:rPr>
                <w:color w:val="000000"/>
                <w:sz w:val="21"/>
              </w:rPr>
              <w:t>小计（人）</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食堂旁出口（南门）</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班次</w:t>
            </w:r>
          </w:p>
        </w:tc>
        <w:tc>
          <w:tcPr>
            <w:tcW w:type="dxa" w:w="4983"/>
            <w:gridSpan w:val="3"/>
            <w:tcBorders>
              <w:top w:val="none" w:color="000000" w:sz="4"/>
              <w:left w:val="single" w:color="000000" w:sz="4"/>
              <w:bottom w:val="single" w:color="000000" w:sz="4"/>
              <w:right w:val="single" w:color="000000" w:sz="4"/>
            </w:tcBorders>
            <w:vAlign w:val="top"/>
          </w:tcPr>
          <w:p>
            <w:pPr>
              <w:jc w:val="center"/>
            </w:pPr>
            <w:r>
              <w:rPr>
                <w:color w:val="000000"/>
                <w:sz w:val="21"/>
              </w:rPr>
              <w:t>9：30-17：30</w:t>
            </w:r>
          </w:p>
        </w:tc>
        <w:tc>
          <w:tcPr>
            <w:tcW w:type="dxa" w:w="1661"/>
            <w:tcBorders>
              <w:top w:val="none" w:color="000000" w:sz="4"/>
              <w:left w:val="single" w:color="000000" w:sz="4"/>
              <w:bottom w:val="single" w:color="000000" w:sz="4"/>
              <w:right w:val="single" w:color="000000" w:sz="4"/>
            </w:tcBorders>
            <w:vAlign w:val="top"/>
          </w:tcPr>
          <w:p>
            <w:pPr>
              <w:jc w:val="center"/>
            </w:pP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肠道门诊旁出口（北门）</w:t>
            </w:r>
          </w:p>
        </w:tc>
        <w:tc>
          <w:tcPr>
            <w:tcW w:type="dxa" w:w="4983"/>
            <w:gridSpan w:val="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机动顶班</w:t>
            </w:r>
          </w:p>
        </w:tc>
        <w:tc>
          <w:tcPr>
            <w:tcW w:type="dxa" w:w="4983"/>
            <w:gridSpan w:val="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w:t>
            </w:r>
          </w:p>
        </w:tc>
      </w:tr>
      <w:tr>
        <w:tc>
          <w:tcPr>
            <w:tcW w:type="dxa" w:w="6644"/>
            <w:gridSpan w:val="4"/>
            <w:tcBorders>
              <w:top w:val="none" w:color="000000" w:sz="4"/>
              <w:left w:val="single" w:color="000000" w:sz="4"/>
              <w:bottom w:val="single" w:color="000000" w:sz="4"/>
              <w:right w:val="single" w:color="000000" w:sz="4"/>
            </w:tcBorders>
            <w:vAlign w:val="top"/>
          </w:tcPr>
          <w:p>
            <w:pPr>
              <w:jc w:val="center"/>
            </w:pPr>
            <w:r>
              <w:rPr>
                <w:b/>
                <w:color w:val="000000"/>
                <w:sz w:val="21"/>
              </w:rPr>
              <w:t>合计</w:t>
            </w:r>
          </w:p>
        </w:tc>
        <w:tc>
          <w:tcPr>
            <w:tcW w:type="dxa" w:w="1661"/>
            <w:tcBorders>
              <w:top w:val="none" w:color="000000" w:sz="4"/>
              <w:left w:val="single" w:color="000000" w:sz="4"/>
              <w:bottom w:val="single" w:color="000000" w:sz="4"/>
              <w:right w:val="single" w:color="000000" w:sz="4"/>
            </w:tcBorders>
            <w:vAlign w:val="top"/>
          </w:tcPr>
          <w:p>
            <w:pPr>
              <w:jc w:val="center"/>
            </w:pPr>
            <w:r>
              <w:rPr>
                <w:b/>
                <w:color w:val="000000"/>
                <w:sz w:val="21"/>
              </w:rPr>
              <w:t>5</w:t>
            </w:r>
          </w:p>
        </w:tc>
      </w:tr>
    </w:tbl>
    <w:p>
      <w:pPr>
        <w:ind w:firstLine="425"/>
        <w:jc w:val="both"/>
      </w:pPr>
    </w:p>
    <w:p>
      <w:pPr>
        <w:ind w:firstLine="422"/>
        <w:jc w:val="both"/>
      </w:pPr>
      <w:r>
        <w:rPr>
          <w:b/>
          <w:sz w:val="21"/>
        </w:rPr>
        <w:t>三、工作时间安排</w:t>
      </w:r>
    </w:p>
    <w:p>
      <w:pPr>
        <w:ind w:firstLine="420"/>
        <w:jc w:val="both"/>
      </w:pPr>
      <w:r>
        <w:rPr>
          <w:sz w:val="21"/>
        </w:rPr>
        <w:t>1、消防控制室每班8小时，每班必需2人上岗，确保24小时服务不间断；其它保安岗位按《新采购安保服务保安人员工作岗位配置表》及《车辆出口工作岗位配置表》的人员及班次上岗。</w:t>
      </w:r>
    </w:p>
    <w:p>
      <w:pPr>
        <w:ind w:firstLine="420"/>
        <w:jc w:val="both"/>
      </w:pPr>
      <w:r>
        <w:rPr>
          <w:sz w:val="21"/>
        </w:rPr>
        <w:t>2、其他工作根据院方要求合理安排时间，确保及时完成工作。</w:t>
      </w:r>
    </w:p>
    <w:p>
      <w:pPr>
        <w:ind w:firstLine="422"/>
        <w:jc w:val="both"/>
      </w:pPr>
      <w:r>
        <w:rPr>
          <w:b/>
          <w:sz w:val="21"/>
        </w:rPr>
        <w:t>四</w:t>
      </w:r>
      <w:r>
        <w:rPr>
          <w:b/>
          <w:sz w:val="21"/>
        </w:rPr>
        <w:t>、服务要求</w:t>
      </w:r>
    </w:p>
    <w:p>
      <w:pPr>
        <w:ind w:firstLine="420"/>
        <w:jc w:val="both"/>
      </w:pPr>
      <w:r>
        <w:rPr>
          <w:color w:val="000000"/>
          <w:sz w:val="21"/>
        </w:rPr>
        <w:t>★</w:t>
      </w:r>
      <w:r>
        <w:rPr>
          <w:sz w:val="21"/>
        </w:rPr>
        <w:t>（一）服务期限：三年（</w:t>
      </w:r>
      <w:r>
        <w:rPr>
          <w:sz w:val="21"/>
        </w:rPr>
        <w:t>2022年12月1日至2025年11月30日）合同一年一签。</w:t>
      </w:r>
    </w:p>
    <w:p>
      <w:pPr>
        <w:ind w:firstLine="420"/>
        <w:jc w:val="both"/>
      </w:pPr>
      <w:r>
        <w:rPr>
          <w:color w:val="000000"/>
          <w:sz w:val="21"/>
        </w:rPr>
        <w:t>（二）服务人员的配置及要求</w:t>
      </w:r>
    </w:p>
    <w:p>
      <w:pPr>
        <w:jc w:val="both"/>
      </w:pPr>
      <w:r>
        <w:rPr>
          <w:color w:val="000000"/>
          <w:sz w:val="21"/>
        </w:rPr>
        <w:t>1、投标人需具备营业执照、保安服务许可证。</w:t>
      </w:r>
    </w:p>
    <w:p>
      <w:pPr>
        <w:jc w:val="both"/>
      </w:pPr>
      <w:r>
        <w:rPr>
          <w:color w:val="000000"/>
          <w:sz w:val="21"/>
        </w:rPr>
        <w:t>★2、人员配置：投标人派驻具备保安证的安保人员27人。派驻安保人员必须为身体健康、遵纪守法，无犯罪记录的男性。安保人员年龄不超55周岁，初中及以上学历。投标人派驻停车收费管理人员5人必须身体健康、遵纪守法、无犯罪记录的男性或女性，男性年龄不超60周岁，女性年龄不超55周岁，初中及以上学历。</w:t>
      </w:r>
    </w:p>
    <w:p>
      <w:pPr>
        <w:jc w:val="both"/>
      </w:pPr>
      <w:r>
        <w:rPr>
          <w:color w:val="000000"/>
          <w:sz w:val="21"/>
        </w:rPr>
        <w:t>3、根据医院业务发展需要，投标人进场后采购人协商可适当增加或减少安保人员数量（增加或减少安保人员的费用由采购人另行计算），费用标准按中标费用标准计算，同时采购人不定期对安保服务在岗人数进行抽查，发现有不合理缺岗的需及时整改并补齐岗位人数。</w:t>
      </w:r>
    </w:p>
    <w:p>
      <w:pPr>
        <w:ind w:firstLine="420"/>
        <w:jc w:val="both"/>
      </w:pPr>
      <w:r>
        <w:rPr>
          <w:color w:val="000000"/>
          <w:sz w:val="21"/>
        </w:rPr>
        <w:t>4、所有派遣安保人员配置统一的制服、所需防暴设备及必备的通讯工具。</w:t>
      </w:r>
    </w:p>
    <w:p>
      <w:pPr>
        <w:ind w:firstLine="420"/>
        <w:jc w:val="both"/>
      </w:pPr>
      <w:r>
        <w:rPr>
          <w:color w:val="000000"/>
          <w:sz w:val="21"/>
        </w:rPr>
        <w:t>★</w:t>
      </w:r>
      <w:r>
        <w:rPr>
          <w:color w:val="000000"/>
          <w:sz w:val="21"/>
        </w:rPr>
        <w:t>5、投标人须承诺：消防控制室每班8小时，每班必须2人持有有效的政府相关职能部门发放的“建（构）筑物消防员证”或“消防设施操作员证”或由消防行业持有工种职业技能鉴定部门颁发的合格成绩单且持有保安证的人员上岗。</w:t>
      </w:r>
    </w:p>
    <w:p>
      <w:pPr>
        <w:ind w:firstLine="420"/>
        <w:jc w:val="both"/>
      </w:pPr>
      <w:r>
        <w:rPr>
          <w:color w:val="000000"/>
          <w:sz w:val="21"/>
        </w:rPr>
        <w:t>6、投标人所派驻安保人员掌握相应的治安和消防知识及技能，掌握智能手机巡逻打卡。</w:t>
      </w:r>
    </w:p>
    <w:p>
      <w:pPr>
        <w:ind w:firstLine="420"/>
        <w:jc w:val="both"/>
      </w:pPr>
      <w:r>
        <w:rPr>
          <w:color w:val="000000"/>
          <w:sz w:val="21"/>
        </w:rPr>
        <w:t>7、医院停车场的停车服务费由投标人收取，投标人收取的全部费用用于支付车辆出入5名管理人员的薪酬、设备维护费、管理费、税费等，医院不予另外支付。</w:t>
      </w:r>
    </w:p>
    <w:p>
      <w:pPr>
        <w:ind w:firstLine="420"/>
        <w:jc w:val="both"/>
      </w:pPr>
      <w:r>
        <w:rPr>
          <w:color w:val="000000"/>
          <w:sz w:val="21"/>
        </w:rPr>
        <w:t>★8、</w:t>
      </w:r>
      <w:r>
        <w:rPr>
          <w:color w:val="000000"/>
          <w:sz w:val="21"/>
        </w:rPr>
        <w:t>派驻人员需身体健康，无传染性疾病，上岗前需取得健康证，经核酸检测阴性（核酸检测阴性要求包括试工人员）并经我院疫情防控岗前培训、考核合格才能上岗。健康体检费用、核酸检测费用由投标人自行承担。</w:t>
      </w:r>
    </w:p>
    <w:p>
      <w:pPr>
        <w:ind w:firstLine="420"/>
        <w:jc w:val="both"/>
      </w:pPr>
      <w:r>
        <w:rPr>
          <w:color w:val="000000"/>
          <w:sz w:val="21"/>
        </w:rPr>
        <w:t>9、投标人派驻的保安人员须遵纪守法，无条件遵守医院各项规定，尤其是关于疫情防控及安全生产的有关规定。</w:t>
      </w:r>
    </w:p>
    <w:p>
      <w:pPr>
        <w:ind w:firstLine="420"/>
        <w:jc w:val="both"/>
      </w:pPr>
      <w:r>
        <w:rPr>
          <w:color w:val="000000"/>
          <w:sz w:val="21"/>
        </w:rPr>
        <w:t>10、投标人须配合院方做好各项迎检及突发紧急事件处置工作。</w:t>
      </w:r>
    </w:p>
    <w:p>
      <w:pPr>
        <w:ind w:firstLine="420"/>
        <w:jc w:val="both"/>
      </w:pPr>
      <w:r>
        <w:rPr>
          <w:color w:val="000000"/>
          <w:sz w:val="21"/>
        </w:rPr>
        <w:t>11、投标人在保安服务中所发生的人员安全事故（包括人员滑倒、擦伤等）、交通事故、安保服务不按要求防护造成感染疾病等安全事故责任由投标人负责。</w:t>
      </w:r>
    </w:p>
    <w:p>
      <w:pPr>
        <w:ind w:firstLine="425"/>
        <w:jc w:val="both"/>
      </w:pPr>
    </w:p>
    <w:p>
      <w:pPr>
        <w:ind w:firstLine="420"/>
        <w:jc w:val="both"/>
      </w:pPr>
      <w:r>
        <w:rPr>
          <w:color w:val="000000"/>
          <w:sz w:val="21"/>
        </w:rPr>
        <w:t>（三）服务质量要求</w:t>
      </w:r>
    </w:p>
    <w:p>
      <w:pPr>
        <w:ind w:firstLine="420"/>
        <w:jc w:val="both"/>
      </w:pPr>
      <w:r>
        <w:rPr>
          <w:color w:val="000000"/>
          <w:sz w:val="21"/>
        </w:rPr>
        <w:t>所有驻院保安和停车收费管理人员必须认真履行各项职责，及时处理和上报安全隐患和应急事件，保持统一着装，仪容仪表整齐整洁，文明执勤，态度诚恳礼貌，严格遵守医院规章制度，服从医院安排。</w:t>
      </w:r>
    </w:p>
    <w:p>
      <w:pPr>
        <w:ind w:firstLine="420"/>
        <w:jc w:val="both"/>
      </w:pPr>
      <w:r>
        <w:rPr>
          <w:color w:val="000000"/>
          <w:sz w:val="21"/>
        </w:rPr>
        <w:t>（四）日常用语</w:t>
      </w:r>
    </w:p>
    <w:p>
      <w:pPr>
        <w:ind w:firstLine="420"/>
        <w:jc w:val="both"/>
      </w:pPr>
      <w:r>
        <w:rPr>
          <w:color w:val="000000"/>
          <w:sz w:val="21"/>
        </w:rPr>
        <w:t>您好！早上好！</w:t>
      </w:r>
    </w:p>
    <w:p>
      <w:pPr>
        <w:ind w:firstLine="420"/>
        <w:jc w:val="both"/>
      </w:pPr>
      <w:r>
        <w:rPr>
          <w:color w:val="000000"/>
          <w:sz w:val="21"/>
        </w:rPr>
        <w:t>请出示健康码、行程码进行登记</w:t>
      </w:r>
    </w:p>
    <w:p>
      <w:pPr>
        <w:ind w:firstLine="420"/>
        <w:jc w:val="both"/>
      </w:pPr>
      <w:r>
        <w:rPr>
          <w:color w:val="000000"/>
          <w:sz w:val="21"/>
        </w:rPr>
        <w:t>请佩戴好口罩</w:t>
      </w:r>
    </w:p>
    <w:p>
      <w:pPr>
        <w:ind w:firstLine="420"/>
        <w:jc w:val="both"/>
      </w:pPr>
      <w:r>
        <w:rPr>
          <w:color w:val="000000"/>
          <w:sz w:val="21"/>
        </w:rPr>
        <w:t>请佩戴好安全头盔</w:t>
      </w:r>
    </w:p>
    <w:p>
      <w:pPr>
        <w:ind w:firstLine="420"/>
        <w:jc w:val="both"/>
      </w:pPr>
      <w:r>
        <w:rPr>
          <w:color w:val="000000"/>
          <w:sz w:val="21"/>
        </w:rPr>
        <w:t>请问您有什么事需要帮助吗？</w:t>
      </w:r>
    </w:p>
    <w:p>
      <w:pPr>
        <w:ind w:firstLine="420"/>
        <w:jc w:val="both"/>
      </w:pPr>
      <w:r>
        <w:rPr>
          <w:color w:val="000000"/>
          <w:sz w:val="21"/>
        </w:rPr>
        <w:t>请您稍等</w:t>
      </w:r>
    </w:p>
    <w:p>
      <w:pPr>
        <w:ind w:firstLine="420"/>
        <w:jc w:val="both"/>
      </w:pPr>
      <w:r>
        <w:rPr>
          <w:color w:val="000000"/>
          <w:sz w:val="21"/>
        </w:rPr>
        <w:t>请理解，谢谢配合</w:t>
      </w:r>
    </w:p>
    <w:p>
      <w:pPr>
        <w:ind w:firstLine="420"/>
        <w:jc w:val="both"/>
      </w:pPr>
      <w:r>
        <w:rPr>
          <w:color w:val="000000"/>
          <w:sz w:val="21"/>
        </w:rPr>
        <w:t>对不起，消防通道禁止停车，请您将车停在车位里</w:t>
      </w:r>
    </w:p>
    <w:p>
      <w:pPr>
        <w:ind w:firstLine="420"/>
        <w:jc w:val="both"/>
      </w:pPr>
      <w:r>
        <w:rPr>
          <w:color w:val="000000"/>
          <w:sz w:val="21"/>
        </w:rPr>
        <w:t>感谢您提的宝贵意见</w:t>
      </w:r>
    </w:p>
    <w:p>
      <w:pPr>
        <w:ind w:firstLine="420"/>
        <w:jc w:val="both"/>
      </w:pPr>
      <w:r>
        <w:rPr>
          <w:color w:val="000000"/>
          <w:sz w:val="21"/>
        </w:rPr>
        <w:t>感谢您提醒我们注意</w:t>
      </w:r>
    </w:p>
    <w:p>
      <w:pPr>
        <w:ind w:firstLine="420"/>
        <w:jc w:val="both"/>
      </w:pPr>
      <w:r>
        <w:rPr>
          <w:color w:val="000000"/>
          <w:sz w:val="21"/>
        </w:rPr>
        <w:t>慢走</w:t>
      </w:r>
    </w:p>
    <w:p>
      <w:pPr>
        <w:ind w:firstLine="422"/>
        <w:jc w:val="both"/>
      </w:pPr>
      <w:r>
        <w:rPr>
          <w:b/>
          <w:sz w:val="21"/>
        </w:rPr>
        <w:t>五、考核标准</w:t>
      </w:r>
    </w:p>
    <w:p>
      <w:pPr>
        <w:ind w:firstLine="420"/>
        <w:jc w:val="both"/>
      </w:pPr>
      <w:r>
        <w:rPr>
          <w:sz w:val="21"/>
        </w:rPr>
        <w:t>详见《安保人员工作检查评分考核方案》及《安保工作检查评分表》。</w:t>
      </w:r>
    </w:p>
    <w:p>
      <w:pPr>
        <w:jc w:val="both"/>
      </w:pPr>
      <w:r>
        <w:rPr>
          <w:b/>
          <w:sz w:val="21"/>
        </w:rPr>
        <w:t>安保人员工作检查评分考核方案</w:t>
      </w:r>
    </w:p>
    <w:p>
      <w:pPr>
        <w:ind w:firstLine="420"/>
        <w:jc w:val="both"/>
      </w:pPr>
      <w:r>
        <w:rPr>
          <w:sz w:val="21"/>
        </w:rPr>
        <w:t>为了提升保安人员的安保工作质量，保卫科根据中山市坦洲人民医院物业管理服务定点采购合同内容制定了保安工作检查评分考核方案。每月由保卫科对保安工作进行评分，评分内容共</w:t>
      </w:r>
      <w:r>
        <w:rPr>
          <w:sz w:val="21"/>
        </w:rPr>
        <w:t>12项，满分100分，按评分考核标准计算当月保安公司保安服务费。具体计算方法如下：</w:t>
      </w:r>
    </w:p>
    <w:p>
      <w:pPr>
        <w:ind w:firstLine="420"/>
        <w:jc w:val="both"/>
      </w:pPr>
      <w:r>
        <w:rPr>
          <w:sz w:val="21"/>
        </w:rPr>
        <w:t>一、</w:t>
      </w:r>
      <w:r>
        <w:rPr>
          <w:sz w:val="21"/>
        </w:rPr>
        <w:t>实得分</w:t>
      </w:r>
      <w:r>
        <w:rPr>
          <w:sz w:val="21"/>
        </w:rPr>
        <w:t>≥96分</w:t>
      </w:r>
      <w:r>
        <w:rPr>
          <w:sz w:val="21"/>
        </w:rPr>
        <w:t>，全额支付当月的保安服务费；</w:t>
      </w:r>
    </w:p>
    <w:p>
      <w:pPr>
        <w:ind w:firstLine="420"/>
        <w:jc w:val="both"/>
      </w:pPr>
      <w:r>
        <w:rPr>
          <w:sz w:val="21"/>
        </w:rPr>
        <w:t>二、</w:t>
      </w:r>
      <w:r>
        <w:rPr>
          <w:sz w:val="21"/>
        </w:rPr>
        <w:t>96分＞实得分≥90分，支付当月保安服务费的98%；</w:t>
      </w:r>
    </w:p>
    <w:p>
      <w:pPr>
        <w:ind w:firstLine="420"/>
        <w:jc w:val="both"/>
      </w:pPr>
      <w:r>
        <w:rPr>
          <w:sz w:val="21"/>
        </w:rPr>
        <w:t>三、</w:t>
      </w:r>
      <w:r>
        <w:rPr>
          <w:sz w:val="21"/>
        </w:rPr>
        <w:t>实得分＜</w:t>
      </w:r>
      <w:r>
        <w:rPr>
          <w:sz w:val="21"/>
        </w:rPr>
        <w:t>90分，按相应比例支付当月保安服务费。例如：评分总数为84分，支付当月保安服务费的84%。</w:t>
      </w:r>
    </w:p>
    <w:p>
      <w:pPr>
        <w:ind w:firstLine="425"/>
        <w:jc w:val="center"/>
      </w:pPr>
    </w:p>
    <w:p>
      <w:pPr>
        <w:ind w:firstLine="425"/>
        <w:jc w:val="both"/>
      </w:pPr>
      <w:r>
        <w:rPr>
          <w:sz w:val="21"/>
        </w:rPr>
        <w:t>安保工作检查评分表</w:t>
      </w:r>
    </w:p>
    <w:p>
      <w:pPr>
        <w:jc w:val="both"/>
      </w:pPr>
      <w:r>
        <w:rPr>
          <w:sz w:val="21"/>
        </w:rPr>
        <w:t>检查时间：</w:t>
      </w:r>
      <w:r>
        <w:rPr>
          <w:sz w:val="21"/>
        </w:rPr>
        <w:t xml:space="preserve">                                                   </w:t>
      </w:r>
      <w:r>
        <w:rPr>
          <w:sz w:val="21"/>
        </w:rPr>
        <w:t>检查人：</w:t>
      </w:r>
    </w:p>
    <w:tbl>
      <w:tblPr>
        <w:tblW w:w="0" w:type="auto"/>
        <w:tblBorders>
          <w:top w:val="none" w:color="000000" w:sz="4"/>
          <w:left w:val="none" w:color="000000" w:sz="4"/>
          <w:bottom w:val="none" w:color="000000" w:sz="4"/>
          <w:right w:val="none" w:color="000000" w:sz="4"/>
          <w:insideH w:val="none"/>
          <w:insideV w:val="none"/>
        </w:tblBorders>
      </w:tblPr>
      <w:tblGrid>
        <w:gridCol w:w="1172"/>
        <w:gridCol w:w="3985"/>
        <w:gridCol w:w="1362"/>
        <w:gridCol w:w="1787"/>
      </w:tblGrid>
      <w:tr>
        <w:tc>
          <w:tcPr>
            <w:tcW w:type="dxa" w:w="1172"/>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3985"/>
            <w:tcBorders>
              <w:top w:val="single" w:color="000000" w:sz="4"/>
              <w:left w:val="single" w:color="000000" w:sz="4"/>
              <w:bottom w:val="single" w:color="000000" w:sz="4"/>
              <w:right w:val="single" w:color="000000" w:sz="4"/>
            </w:tcBorders>
            <w:vAlign w:val="top"/>
          </w:tcPr>
          <w:p>
            <w:pPr>
              <w:jc w:val="center"/>
            </w:pPr>
            <w:r>
              <w:rPr>
                <w:color w:val="000000"/>
                <w:sz w:val="21"/>
              </w:rPr>
              <w:t>检查评分内容（满分</w:t>
            </w:r>
            <w:r>
              <w:rPr>
                <w:color w:val="000000"/>
                <w:sz w:val="21"/>
              </w:rPr>
              <w:t>100分）</w:t>
            </w:r>
          </w:p>
        </w:tc>
        <w:tc>
          <w:tcPr>
            <w:tcW w:type="dxa" w:w="1362"/>
            <w:tcBorders>
              <w:top w:val="single" w:color="000000" w:sz="4"/>
              <w:left w:val="single" w:color="000000" w:sz="4"/>
              <w:bottom w:val="single" w:color="000000" w:sz="4"/>
              <w:right w:val="single" w:color="000000" w:sz="4"/>
            </w:tcBorders>
            <w:vAlign w:val="top"/>
          </w:tcPr>
          <w:p>
            <w:pPr>
              <w:jc w:val="center"/>
            </w:pPr>
            <w:r>
              <w:rPr>
                <w:color w:val="000000"/>
                <w:sz w:val="21"/>
              </w:rPr>
              <w:t>扣分情况</w:t>
            </w:r>
          </w:p>
        </w:tc>
        <w:tc>
          <w:tcPr>
            <w:tcW w:type="dxa" w:w="1787"/>
            <w:tcBorders>
              <w:top w:val="single" w:color="000000" w:sz="4"/>
              <w:left w:val="single" w:color="000000" w:sz="4"/>
              <w:bottom w:val="single" w:color="000000" w:sz="4"/>
              <w:right w:val="single" w:color="000000" w:sz="4"/>
            </w:tcBorders>
            <w:vAlign w:val="top"/>
          </w:tcPr>
          <w:p>
            <w:pPr>
              <w:jc w:val="center"/>
            </w:pPr>
            <w:r>
              <w:rPr>
                <w:color w:val="000000"/>
                <w:sz w:val="21"/>
              </w:rPr>
              <w:t>备注</w:t>
            </w:r>
          </w:p>
        </w:tc>
      </w:tr>
      <w:tr>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3985"/>
            <w:tcBorders>
              <w:top w:val="none" w:color="000000" w:sz="4"/>
              <w:left w:val="single" w:color="000000" w:sz="4"/>
              <w:bottom w:val="single" w:color="000000" w:sz="4"/>
              <w:right w:val="single" w:color="000000" w:sz="4"/>
            </w:tcBorders>
            <w:vAlign w:val="top"/>
          </w:tcPr>
          <w:p>
            <w:pPr>
              <w:jc w:val="left"/>
            </w:pPr>
            <w:r>
              <w:rPr>
                <w:color w:val="000000"/>
                <w:sz w:val="21"/>
              </w:rPr>
              <w:t>工作室不整洁扣</w:t>
            </w:r>
            <w:r>
              <w:rPr>
                <w:color w:val="000000"/>
                <w:sz w:val="21"/>
              </w:rPr>
              <w:t>0.5分，着装不符合要求扣0.5分，服务态度差扣0.5分</w:t>
            </w:r>
          </w:p>
        </w:tc>
        <w:tc>
          <w:tcPr>
            <w:tcW w:type="dxa" w:w="1362"/>
            <w:tcBorders>
              <w:top w:val="none" w:color="000000" w:sz="4"/>
              <w:left w:val="single" w:color="000000" w:sz="4"/>
              <w:bottom w:val="single" w:color="000000" w:sz="4"/>
              <w:right w:val="single" w:color="000000" w:sz="4"/>
            </w:tcBorders>
            <w:vAlign w:val="top"/>
          </w:tcPr>
          <w:p>
            <w:pPr>
              <w:jc w:val="center"/>
            </w:pPr>
          </w:p>
        </w:tc>
        <w:tc>
          <w:tcPr>
            <w:tcW w:type="dxa" w:w="1787"/>
            <w:tcBorders>
              <w:top w:val="none" w:color="000000" w:sz="4"/>
              <w:left w:val="single" w:color="000000" w:sz="4"/>
              <w:bottom w:val="single" w:color="000000" w:sz="4"/>
              <w:right w:val="single" w:color="000000" w:sz="4"/>
            </w:tcBorders>
            <w:vAlign w:val="top"/>
          </w:tcPr>
          <w:p>
            <w:pPr>
              <w:jc w:val="center"/>
            </w:pPr>
          </w:p>
        </w:tc>
      </w:tr>
      <w:tr>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3985"/>
            <w:tcBorders>
              <w:top w:val="none" w:color="000000" w:sz="4"/>
              <w:left w:val="single" w:color="000000" w:sz="4"/>
              <w:bottom w:val="single" w:color="000000" w:sz="4"/>
              <w:right w:val="single" w:color="000000" w:sz="4"/>
            </w:tcBorders>
            <w:vAlign w:val="top"/>
          </w:tcPr>
          <w:p>
            <w:pPr>
              <w:jc w:val="left"/>
            </w:pPr>
            <w:r>
              <w:rPr>
                <w:color w:val="000000"/>
                <w:sz w:val="21"/>
              </w:rPr>
              <w:t>不配合医院完成其他各项工作任务一项扣</w:t>
            </w:r>
            <w:r>
              <w:rPr>
                <w:color w:val="000000"/>
                <w:sz w:val="21"/>
              </w:rPr>
              <w:t>0.5分</w:t>
            </w:r>
          </w:p>
        </w:tc>
        <w:tc>
          <w:tcPr>
            <w:tcW w:type="dxa" w:w="1362"/>
            <w:tcBorders>
              <w:top w:val="none" w:color="000000" w:sz="4"/>
              <w:left w:val="single" w:color="000000" w:sz="4"/>
              <w:bottom w:val="single" w:color="000000" w:sz="4"/>
              <w:right w:val="single" w:color="000000" w:sz="4"/>
            </w:tcBorders>
            <w:vAlign w:val="top"/>
          </w:tcPr>
          <w:p>
            <w:pPr>
              <w:jc w:val="center"/>
            </w:pPr>
          </w:p>
        </w:tc>
        <w:tc>
          <w:tcPr>
            <w:tcW w:type="dxa" w:w="1787"/>
            <w:tcBorders>
              <w:top w:val="none" w:color="000000" w:sz="4"/>
              <w:left w:val="single" w:color="000000" w:sz="4"/>
              <w:bottom w:val="single" w:color="000000" w:sz="4"/>
              <w:right w:val="single" w:color="000000" w:sz="4"/>
            </w:tcBorders>
            <w:vAlign w:val="top"/>
          </w:tcPr>
          <w:p>
            <w:pPr>
              <w:jc w:val="center"/>
            </w:pPr>
          </w:p>
        </w:tc>
      </w:tr>
      <w:tr>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3985"/>
            <w:tcBorders>
              <w:top w:val="none" w:color="000000" w:sz="4"/>
              <w:left w:val="single" w:color="000000" w:sz="4"/>
              <w:bottom w:val="single" w:color="000000" w:sz="4"/>
              <w:right w:val="single" w:color="000000" w:sz="4"/>
            </w:tcBorders>
            <w:vAlign w:val="top"/>
          </w:tcPr>
          <w:p>
            <w:pPr>
              <w:jc w:val="left"/>
            </w:pPr>
            <w:r>
              <w:rPr>
                <w:color w:val="000000"/>
                <w:sz w:val="21"/>
              </w:rPr>
              <w:t>上班在岗时间脱岗扣</w:t>
            </w:r>
            <w:r>
              <w:rPr>
                <w:color w:val="000000"/>
                <w:sz w:val="21"/>
              </w:rPr>
              <w:t>0.5分，玩手机扣0.5分，有瞌睡现象扣0.5分</w:t>
            </w:r>
          </w:p>
        </w:tc>
        <w:tc>
          <w:tcPr>
            <w:tcW w:type="dxa" w:w="1362"/>
            <w:tcBorders>
              <w:top w:val="none" w:color="000000" w:sz="4"/>
              <w:left w:val="single" w:color="000000" w:sz="4"/>
              <w:bottom w:val="single" w:color="000000" w:sz="4"/>
              <w:right w:val="single" w:color="000000" w:sz="4"/>
            </w:tcBorders>
            <w:vAlign w:val="top"/>
          </w:tcPr>
          <w:p>
            <w:pPr>
              <w:jc w:val="center"/>
            </w:pPr>
          </w:p>
        </w:tc>
        <w:tc>
          <w:tcPr>
            <w:tcW w:type="dxa" w:w="1787"/>
            <w:tcBorders>
              <w:top w:val="none" w:color="000000" w:sz="4"/>
              <w:left w:val="single" w:color="000000" w:sz="4"/>
              <w:bottom w:val="single" w:color="000000" w:sz="4"/>
              <w:right w:val="single" w:color="000000" w:sz="4"/>
            </w:tcBorders>
            <w:vAlign w:val="top"/>
          </w:tcPr>
          <w:p>
            <w:pPr>
              <w:jc w:val="center"/>
            </w:pPr>
          </w:p>
        </w:tc>
      </w:tr>
      <w:tr>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3985"/>
            <w:tcBorders>
              <w:top w:val="none" w:color="000000" w:sz="4"/>
              <w:left w:val="single" w:color="000000" w:sz="4"/>
              <w:bottom w:val="single" w:color="000000" w:sz="4"/>
              <w:right w:val="single" w:color="000000" w:sz="4"/>
            </w:tcBorders>
            <w:vAlign w:val="top"/>
          </w:tcPr>
          <w:p>
            <w:pPr>
              <w:jc w:val="left"/>
            </w:pPr>
            <w:r>
              <w:rPr>
                <w:color w:val="000000"/>
                <w:sz w:val="21"/>
              </w:rPr>
              <w:t>院内区域没有做到每二小时进行一次消防治安高空坠物风险等安全巡查扣</w:t>
            </w:r>
            <w:r>
              <w:rPr>
                <w:color w:val="000000"/>
                <w:sz w:val="21"/>
              </w:rPr>
              <w:t>0.5分</w:t>
            </w:r>
          </w:p>
        </w:tc>
        <w:tc>
          <w:tcPr>
            <w:tcW w:type="dxa" w:w="1362"/>
            <w:tcBorders>
              <w:top w:val="none" w:color="000000" w:sz="4"/>
              <w:left w:val="single" w:color="000000" w:sz="4"/>
              <w:bottom w:val="single" w:color="000000" w:sz="4"/>
              <w:right w:val="single" w:color="000000" w:sz="4"/>
            </w:tcBorders>
            <w:vAlign w:val="top"/>
          </w:tcPr>
          <w:p>
            <w:pPr>
              <w:jc w:val="center"/>
            </w:pPr>
          </w:p>
        </w:tc>
        <w:tc>
          <w:tcPr>
            <w:tcW w:type="dxa" w:w="1787"/>
            <w:tcBorders>
              <w:top w:val="none" w:color="000000" w:sz="4"/>
              <w:left w:val="single" w:color="000000" w:sz="4"/>
              <w:bottom w:val="single" w:color="000000" w:sz="4"/>
              <w:right w:val="single" w:color="000000" w:sz="4"/>
            </w:tcBorders>
            <w:vAlign w:val="top"/>
          </w:tcPr>
          <w:p>
            <w:pPr>
              <w:jc w:val="both"/>
            </w:pPr>
          </w:p>
        </w:tc>
      </w:tr>
      <w:tr>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3985"/>
            <w:tcBorders>
              <w:top w:val="none" w:color="000000" w:sz="4"/>
              <w:left w:val="single" w:color="000000" w:sz="4"/>
              <w:bottom w:val="single" w:color="000000" w:sz="4"/>
              <w:right w:val="single" w:color="000000" w:sz="4"/>
            </w:tcBorders>
            <w:vAlign w:val="top"/>
          </w:tcPr>
          <w:p>
            <w:pPr>
              <w:jc w:val="left"/>
            </w:pPr>
            <w:r>
              <w:rPr>
                <w:color w:val="000000"/>
                <w:sz w:val="21"/>
              </w:rPr>
              <w:t>在工作中，没有及时消除或上报各种安全隐患扣</w:t>
            </w:r>
            <w:r>
              <w:rPr>
                <w:color w:val="000000"/>
                <w:sz w:val="21"/>
              </w:rPr>
              <w:t>0.5分</w:t>
            </w:r>
          </w:p>
        </w:tc>
        <w:tc>
          <w:tcPr>
            <w:tcW w:type="dxa" w:w="1362"/>
            <w:tcBorders>
              <w:top w:val="none" w:color="000000" w:sz="4"/>
              <w:left w:val="single" w:color="000000" w:sz="4"/>
              <w:bottom w:val="single" w:color="000000" w:sz="4"/>
              <w:right w:val="single" w:color="000000" w:sz="4"/>
            </w:tcBorders>
            <w:vAlign w:val="top"/>
          </w:tcPr>
          <w:p>
            <w:pPr>
              <w:jc w:val="center"/>
            </w:pPr>
          </w:p>
        </w:tc>
        <w:tc>
          <w:tcPr>
            <w:tcW w:type="dxa" w:w="1787"/>
            <w:tcBorders>
              <w:top w:val="none" w:color="000000" w:sz="4"/>
              <w:left w:val="single" w:color="000000" w:sz="4"/>
              <w:bottom w:val="single" w:color="000000" w:sz="4"/>
              <w:right w:val="single" w:color="000000" w:sz="4"/>
            </w:tcBorders>
            <w:vAlign w:val="top"/>
          </w:tcPr>
          <w:p>
            <w:pPr>
              <w:jc w:val="both"/>
            </w:pPr>
          </w:p>
        </w:tc>
      </w:tr>
      <w:tr>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3985"/>
            <w:tcBorders>
              <w:top w:val="none" w:color="000000" w:sz="4"/>
              <w:left w:val="single" w:color="000000" w:sz="4"/>
              <w:bottom w:val="single" w:color="000000" w:sz="4"/>
              <w:right w:val="single" w:color="000000" w:sz="4"/>
            </w:tcBorders>
            <w:vAlign w:val="top"/>
          </w:tcPr>
          <w:p>
            <w:pPr>
              <w:jc w:val="left"/>
            </w:pPr>
            <w:r>
              <w:rPr>
                <w:color w:val="000000"/>
                <w:sz w:val="21"/>
              </w:rPr>
              <w:t>消防控制室没有安排两个专职人员在消防控制室</w:t>
            </w:r>
            <w:r>
              <w:rPr>
                <w:color w:val="000000"/>
                <w:sz w:val="21"/>
              </w:rPr>
              <w:t>24小时值班扣0.5分</w:t>
            </w:r>
          </w:p>
        </w:tc>
        <w:tc>
          <w:tcPr>
            <w:tcW w:type="dxa" w:w="1362"/>
            <w:tcBorders>
              <w:top w:val="none" w:color="000000" w:sz="4"/>
              <w:left w:val="single" w:color="000000" w:sz="4"/>
              <w:bottom w:val="single" w:color="000000" w:sz="4"/>
              <w:right w:val="single" w:color="000000" w:sz="4"/>
            </w:tcBorders>
            <w:vAlign w:val="top"/>
          </w:tcPr>
          <w:p>
            <w:pPr>
              <w:jc w:val="center"/>
            </w:pPr>
          </w:p>
        </w:tc>
        <w:tc>
          <w:tcPr>
            <w:tcW w:type="dxa" w:w="1787"/>
            <w:tcBorders>
              <w:top w:val="none" w:color="000000" w:sz="4"/>
              <w:left w:val="single" w:color="000000" w:sz="4"/>
              <w:bottom w:val="single" w:color="000000" w:sz="4"/>
              <w:right w:val="single" w:color="000000" w:sz="4"/>
            </w:tcBorders>
            <w:vAlign w:val="top"/>
          </w:tcPr>
          <w:p>
            <w:pPr>
              <w:jc w:val="both"/>
            </w:pPr>
          </w:p>
        </w:tc>
      </w:tr>
      <w:tr>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3985"/>
            <w:tcBorders>
              <w:top w:val="none" w:color="000000" w:sz="4"/>
              <w:left w:val="single" w:color="000000" w:sz="4"/>
              <w:bottom w:val="single" w:color="000000" w:sz="4"/>
              <w:right w:val="single" w:color="000000" w:sz="4"/>
            </w:tcBorders>
            <w:vAlign w:val="top"/>
          </w:tcPr>
          <w:p>
            <w:pPr>
              <w:jc w:val="left"/>
            </w:pPr>
            <w:r>
              <w:rPr>
                <w:color w:val="000000"/>
                <w:sz w:val="21"/>
              </w:rPr>
              <w:t>上岗前没有对消防主机和监控设备进行检查扣</w:t>
            </w:r>
            <w:r>
              <w:rPr>
                <w:color w:val="000000"/>
                <w:sz w:val="21"/>
              </w:rPr>
              <w:t>0.5分，发现故障没有及时报修扣0.5分</w:t>
            </w:r>
          </w:p>
        </w:tc>
        <w:tc>
          <w:tcPr>
            <w:tcW w:type="dxa" w:w="1362"/>
            <w:tcBorders>
              <w:top w:val="none" w:color="000000" w:sz="4"/>
              <w:left w:val="single" w:color="000000" w:sz="4"/>
              <w:bottom w:val="single" w:color="000000" w:sz="4"/>
              <w:right w:val="single" w:color="000000" w:sz="4"/>
            </w:tcBorders>
            <w:vAlign w:val="top"/>
          </w:tcPr>
          <w:p>
            <w:pPr>
              <w:jc w:val="center"/>
            </w:pPr>
          </w:p>
        </w:tc>
        <w:tc>
          <w:tcPr>
            <w:tcW w:type="dxa" w:w="1787"/>
            <w:tcBorders>
              <w:top w:val="none" w:color="000000" w:sz="4"/>
              <w:left w:val="single" w:color="000000" w:sz="4"/>
              <w:bottom w:val="single" w:color="000000" w:sz="4"/>
              <w:right w:val="single" w:color="000000" w:sz="4"/>
            </w:tcBorders>
            <w:vAlign w:val="top"/>
          </w:tcPr>
          <w:p>
            <w:pPr>
              <w:jc w:val="both"/>
            </w:pPr>
          </w:p>
        </w:tc>
      </w:tr>
      <w:tr>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3985"/>
            <w:tcBorders>
              <w:top w:val="none" w:color="000000" w:sz="4"/>
              <w:left w:val="single" w:color="000000" w:sz="4"/>
              <w:bottom w:val="single" w:color="000000" w:sz="4"/>
              <w:right w:val="single" w:color="000000" w:sz="4"/>
            </w:tcBorders>
            <w:vAlign w:val="top"/>
          </w:tcPr>
          <w:p>
            <w:pPr>
              <w:jc w:val="left"/>
            </w:pPr>
            <w:r>
              <w:rPr>
                <w:color w:val="000000"/>
                <w:sz w:val="21"/>
              </w:rPr>
              <w:t>没有做好可疑人员及可疑车辆检查工作扣</w:t>
            </w:r>
            <w:r>
              <w:rPr>
                <w:color w:val="000000"/>
                <w:sz w:val="21"/>
              </w:rPr>
              <w:t>0.5分</w:t>
            </w:r>
          </w:p>
        </w:tc>
        <w:tc>
          <w:tcPr>
            <w:tcW w:type="dxa" w:w="1362"/>
            <w:tcBorders>
              <w:top w:val="none" w:color="000000" w:sz="4"/>
              <w:left w:val="single" w:color="000000" w:sz="4"/>
              <w:bottom w:val="single" w:color="000000" w:sz="4"/>
              <w:right w:val="single" w:color="000000" w:sz="4"/>
            </w:tcBorders>
            <w:vAlign w:val="top"/>
          </w:tcPr>
          <w:p>
            <w:pPr>
              <w:jc w:val="center"/>
            </w:pPr>
          </w:p>
        </w:tc>
        <w:tc>
          <w:tcPr>
            <w:tcW w:type="dxa" w:w="1787"/>
            <w:tcBorders>
              <w:top w:val="none" w:color="000000" w:sz="4"/>
              <w:left w:val="single" w:color="000000" w:sz="4"/>
              <w:bottom w:val="single" w:color="000000" w:sz="4"/>
              <w:right w:val="single" w:color="000000" w:sz="4"/>
            </w:tcBorders>
            <w:vAlign w:val="top"/>
          </w:tcPr>
          <w:p>
            <w:pPr>
              <w:jc w:val="both"/>
            </w:pPr>
          </w:p>
        </w:tc>
      </w:tr>
      <w:tr>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3985"/>
            <w:tcBorders>
              <w:top w:val="none" w:color="000000" w:sz="4"/>
              <w:left w:val="single" w:color="000000" w:sz="4"/>
              <w:bottom w:val="single" w:color="000000" w:sz="4"/>
              <w:right w:val="single" w:color="000000" w:sz="4"/>
            </w:tcBorders>
            <w:vAlign w:val="top"/>
          </w:tcPr>
          <w:p>
            <w:pPr>
              <w:jc w:val="left"/>
            </w:pPr>
            <w:r>
              <w:rPr>
                <w:color w:val="000000"/>
                <w:sz w:val="21"/>
              </w:rPr>
              <w:t>没有维持好院内区域机动车辆的停放秩序扣</w:t>
            </w:r>
            <w:r>
              <w:rPr>
                <w:color w:val="000000"/>
                <w:sz w:val="21"/>
              </w:rPr>
              <w:t>0.5分</w:t>
            </w:r>
          </w:p>
        </w:tc>
        <w:tc>
          <w:tcPr>
            <w:tcW w:type="dxa" w:w="1362"/>
            <w:tcBorders>
              <w:top w:val="none" w:color="000000" w:sz="4"/>
              <w:left w:val="single" w:color="000000" w:sz="4"/>
              <w:bottom w:val="single" w:color="000000" w:sz="4"/>
              <w:right w:val="single" w:color="000000" w:sz="4"/>
            </w:tcBorders>
            <w:vAlign w:val="top"/>
          </w:tcPr>
          <w:p>
            <w:pPr>
              <w:jc w:val="center"/>
            </w:pPr>
          </w:p>
        </w:tc>
        <w:tc>
          <w:tcPr>
            <w:tcW w:type="dxa" w:w="1787"/>
            <w:tcBorders>
              <w:top w:val="none" w:color="000000" w:sz="4"/>
              <w:left w:val="single" w:color="000000" w:sz="4"/>
              <w:bottom w:val="single" w:color="000000" w:sz="4"/>
              <w:right w:val="single" w:color="000000" w:sz="4"/>
            </w:tcBorders>
            <w:vAlign w:val="top"/>
          </w:tcPr>
          <w:p>
            <w:pPr>
              <w:jc w:val="both"/>
            </w:pPr>
          </w:p>
        </w:tc>
      </w:tr>
      <w:tr>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3985"/>
            <w:tcBorders>
              <w:top w:val="none" w:color="000000" w:sz="4"/>
              <w:left w:val="single" w:color="000000" w:sz="4"/>
              <w:bottom w:val="single" w:color="000000" w:sz="4"/>
              <w:right w:val="single" w:color="000000" w:sz="4"/>
            </w:tcBorders>
            <w:vAlign w:val="top"/>
          </w:tcPr>
          <w:p>
            <w:pPr>
              <w:jc w:val="left"/>
            </w:pPr>
            <w:r>
              <w:rPr>
                <w:color w:val="000000"/>
                <w:sz w:val="21"/>
              </w:rPr>
              <w:t>没有在院内各出入口及诊疗区维持秩序扣</w:t>
            </w:r>
            <w:r>
              <w:rPr>
                <w:color w:val="000000"/>
                <w:sz w:val="21"/>
              </w:rPr>
              <w:t>0.5分，特殊情况接报后没有在5分钟内到达现场处理一次扣0.5分</w:t>
            </w:r>
          </w:p>
        </w:tc>
        <w:tc>
          <w:tcPr>
            <w:tcW w:type="dxa" w:w="1362"/>
            <w:tcBorders>
              <w:top w:val="none" w:color="000000" w:sz="4"/>
              <w:left w:val="single" w:color="000000" w:sz="4"/>
              <w:bottom w:val="single" w:color="000000" w:sz="4"/>
              <w:right w:val="single" w:color="000000" w:sz="4"/>
            </w:tcBorders>
            <w:vAlign w:val="top"/>
          </w:tcPr>
          <w:p>
            <w:pPr>
              <w:jc w:val="center"/>
            </w:pPr>
          </w:p>
        </w:tc>
        <w:tc>
          <w:tcPr>
            <w:tcW w:type="dxa" w:w="1787"/>
            <w:tcBorders>
              <w:top w:val="none" w:color="000000" w:sz="4"/>
              <w:left w:val="single" w:color="000000" w:sz="4"/>
              <w:bottom w:val="single" w:color="000000" w:sz="4"/>
              <w:right w:val="single" w:color="000000" w:sz="4"/>
            </w:tcBorders>
            <w:vAlign w:val="top"/>
          </w:tcPr>
          <w:p>
            <w:pPr>
              <w:jc w:val="both"/>
            </w:pPr>
          </w:p>
        </w:tc>
      </w:tr>
      <w:tr>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3985"/>
            <w:tcBorders>
              <w:top w:val="none" w:color="000000" w:sz="4"/>
              <w:left w:val="single" w:color="000000" w:sz="4"/>
              <w:bottom w:val="single" w:color="000000" w:sz="4"/>
              <w:right w:val="single" w:color="000000" w:sz="4"/>
            </w:tcBorders>
            <w:vAlign w:val="top"/>
          </w:tcPr>
          <w:p>
            <w:pPr>
              <w:jc w:val="left"/>
            </w:pPr>
            <w:r>
              <w:rPr>
                <w:color w:val="000000"/>
                <w:sz w:val="21"/>
              </w:rPr>
              <w:t>没有协助做好消防演练及消防维保工作一次扣</w:t>
            </w:r>
            <w:r>
              <w:rPr>
                <w:color w:val="000000"/>
                <w:sz w:val="21"/>
              </w:rPr>
              <w:t>0.5分</w:t>
            </w:r>
          </w:p>
        </w:tc>
        <w:tc>
          <w:tcPr>
            <w:tcW w:type="dxa" w:w="1362"/>
            <w:tcBorders>
              <w:top w:val="none" w:color="000000" w:sz="4"/>
              <w:left w:val="single" w:color="000000" w:sz="4"/>
              <w:bottom w:val="single" w:color="000000" w:sz="4"/>
              <w:right w:val="single" w:color="000000" w:sz="4"/>
            </w:tcBorders>
            <w:vAlign w:val="top"/>
          </w:tcPr>
          <w:p>
            <w:pPr>
              <w:jc w:val="center"/>
            </w:pPr>
          </w:p>
        </w:tc>
        <w:tc>
          <w:tcPr>
            <w:tcW w:type="dxa" w:w="1787"/>
            <w:tcBorders>
              <w:top w:val="none" w:color="000000" w:sz="4"/>
              <w:left w:val="single" w:color="000000" w:sz="4"/>
              <w:bottom w:val="single" w:color="000000" w:sz="4"/>
              <w:right w:val="single" w:color="000000" w:sz="4"/>
            </w:tcBorders>
            <w:vAlign w:val="top"/>
          </w:tcPr>
          <w:p>
            <w:pPr>
              <w:jc w:val="both"/>
            </w:pPr>
          </w:p>
        </w:tc>
      </w:tr>
      <w:tr>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3985"/>
            <w:tcBorders>
              <w:top w:val="none" w:color="000000" w:sz="4"/>
              <w:left w:val="single" w:color="000000" w:sz="4"/>
              <w:bottom w:val="single" w:color="000000" w:sz="4"/>
              <w:right w:val="single" w:color="000000" w:sz="4"/>
            </w:tcBorders>
            <w:vAlign w:val="top"/>
          </w:tcPr>
          <w:p>
            <w:pPr>
              <w:jc w:val="left"/>
            </w:pPr>
            <w:r>
              <w:rPr>
                <w:color w:val="000000"/>
                <w:sz w:val="21"/>
              </w:rPr>
              <w:t>没有协助单位工作人员做好安全宣传工作一次扣</w:t>
            </w:r>
            <w:r>
              <w:rPr>
                <w:color w:val="000000"/>
                <w:sz w:val="21"/>
              </w:rPr>
              <w:t>0.5分</w:t>
            </w:r>
          </w:p>
        </w:tc>
        <w:tc>
          <w:tcPr>
            <w:tcW w:type="dxa" w:w="1362"/>
            <w:tcBorders>
              <w:top w:val="none" w:color="000000" w:sz="4"/>
              <w:left w:val="single" w:color="000000" w:sz="4"/>
              <w:bottom w:val="single" w:color="000000" w:sz="4"/>
              <w:right w:val="single" w:color="000000" w:sz="4"/>
            </w:tcBorders>
            <w:vAlign w:val="top"/>
          </w:tcPr>
          <w:p>
            <w:pPr>
              <w:jc w:val="center"/>
            </w:pPr>
          </w:p>
        </w:tc>
        <w:tc>
          <w:tcPr>
            <w:tcW w:type="dxa" w:w="1787"/>
            <w:tcBorders>
              <w:top w:val="none" w:color="000000" w:sz="4"/>
              <w:left w:val="single" w:color="000000" w:sz="4"/>
              <w:bottom w:val="single" w:color="000000" w:sz="4"/>
              <w:right w:val="single" w:color="000000" w:sz="4"/>
            </w:tcBorders>
            <w:vAlign w:val="top"/>
          </w:tcPr>
          <w:p>
            <w:pPr>
              <w:jc w:val="both"/>
            </w:pPr>
          </w:p>
        </w:tc>
      </w:tr>
      <w:tr>
        <w:tc>
          <w:tcPr>
            <w:tcW w:type="dxa" w:w="5157"/>
            <w:gridSpan w:val="2"/>
            <w:tcBorders>
              <w:top w:val="none" w:color="000000" w:sz="4"/>
              <w:left w:val="single" w:color="000000" w:sz="4"/>
              <w:bottom w:val="single" w:color="000000" w:sz="4"/>
              <w:right w:val="single" w:color="000000" w:sz="4"/>
            </w:tcBorders>
            <w:vAlign w:val="top"/>
          </w:tcPr>
          <w:p>
            <w:pPr>
              <w:jc w:val="center"/>
            </w:pPr>
            <w:r>
              <w:rPr>
                <w:color w:val="000000"/>
                <w:sz w:val="21"/>
              </w:rPr>
              <w:t>扣分合计</w:t>
            </w:r>
          </w:p>
        </w:tc>
        <w:tc>
          <w:tcPr>
            <w:tcW w:type="dxa" w:w="1362"/>
            <w:tcBorders>
              <w:top w:val="none" w:color="000000" w:sz="4"/>
              <w:left w:val="single" w:color="000000" w:sz="4"/>
              <w:bottom w:val="single" w:color="000000" w:sz="4"/>
              <w:right w:val="single" w:color="000000" w:sz="4"/>
            </w:tcBorders>
            <w:vAlign w:val="top"/>
          </w:tcPr>
          <w:p>
            <w:pPr>
              <w:jc w:val="both"/>
            </w:pPr>
          </w:p>
        </w:tc>
        <w:tc>
          <w:tcPr>
            <w:tcW w:type="dxa" w:w="1787"/>
            <w:tcBorders>
              <w:top w:val="none" w:color="000000" w:sz="4"/>
              <w:left w:val="single" w:color="000000" w:sz="4"/>
              <w:bottom w:val="single" w:color="000000" w:sz="4"/>
              <w:right w:val="single" w:color="000000" w:sz="4"/>
            </w:tcBorders>
            <w:vAlign w:val="top"/>
          </w:tcPr>
          <w:p>
            <w:pPr>
              <w:jc w:val="left"/>
            </w:pPr>
            <w:r>
              <w:rPr>
                <w:color w:val="000000"/>
                <w:sz w:val="21"/>
              </w:rPr>
              <w:t>实得分：</w:t>
            </w:r>
          </w:p>
        </w:tc>
      </w:tr>
      <w:tr>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检查存在问题及整改措施</w:t>
            </w:r>
          </w:p>
        </w:tc>
        <w:tc>
          <w:tcPr>
            <w:tcW w:type="dxa" w:w="7134"/>
            <w:gridSpan w:val="3"/>
            <w:tcBorders>
              <w:top w:val="none" w:color="000000" w:sz="4"/>
              <w:left w:val="single" w:color="000000" w:sz="4"/>
              <w:bottom w:val="single" w:color="000000" w:sz="4"/>
              <w:right w:val="single" w:color="000000" w:sz="4"/>
            </w:tcBorders>
            <w:vAlign w:val="top"/>
          </w:tcPr>
          <w:p>
            <w:pPr>
              <w:jc w:val="center"/>
            </w:pPr>
          </w:p>
        </w:tc>
      </w:tr>
      <w:tr>
        <w:tc>
          <w:tcPr>
            <w:tcW w:type="dxa" w:w="1172"/>
            <w:tcBorders>
              <w:top w:val="none" w:color="000000" w:sz="4"/>
              <w:left w:val="single" w:color="000000" w:sz="4"/>
              <w:bottom w:val="single" w:color="000000" w:sz="4"/>
              <w:right w:val="single" w:color="000000" w:sz="4"/>
            </w:tcBorders>
            <w:vAlign w:val="top"/>
          </w:tcPr>
          <w:p>
            <w:pPr>
              <w:jc w:val="center"/>
            </w:pPr>
            <w:r>
              <w:rPr>
                <w:color w:val="000000"/>
                <w:sz w:val="21"/>
              </w:rPr>
              <w:t>复查情况</w:t>
            </w:r>
          </w:p>
        </w:tc>
        <w:tc>
          <w:tcPr>
            <w:tcW w:type="dxa" w:w="7134"/>
            <w:gridSpan w:val="3"/>
            <w:tcBorders>
              <w:top w:val="none" w:color="000000" w:sz="4"/>
              <w:left w:val="single" w:color="000000" w:sz="4"/>
              <w:bottom w:val="single" w:color="000000" w:sz="4"/>
              <w:right w:val="single" w:color="000000" w:sz="4"/>
            </w:tcBorders>
            <w:vAlign w:val="bottom"/>
          </w:tcPr>
          <w:p>
            <w:pPr>
              <w:jc w:val="center"/>
            </w:pPr>
            <w:r>
              <w:rPr>
                <w:color w:val="000000"/>
                <w:sz w:val="21"/>
              </w:rPr>
              <w:t xml:space="preserve">                                               </w:t>
            </w:r>
            <w:r>
              <w:rPr>
                <w:color w:val="000000"/>
                <w:sz w:val="21"/>
              </w:rPr>
              <w:t>复查人</w:t>
            </w:r>
            <w:r>
              <w:rPr>
                <w:color w:val="000000"/>
                <w:sz w:val="21"/>
              </w:rPr>
              <w:t xml:space="preserve">:  </w:t>
            </w:r>
            <w:r>
              <w:br/>
            </w:r>
            <w:r>
              <w:br/>
            </w:r>
            <w:r>
              <w:rPr>
                <w:color w:val="000000"/>
                <w:sz w:val="21"/>
              </w:rPr>
              <w:t xml:space="preserve">                                             </w:t>
            </w:r>
            <w:r>
              <w:rPr>
                <w:color w:val="000000"/>
                <w:sz w:val="21"/>
              </w:rPr>
              <w:t>复查时间</w:t>
            </w:r>
            <w:r>
              <w:rPr>
                <w:color w:val="000000"/>
                <w:sz w:val="21"/>
              </w:rPr>
              <w:t xml:space="preserve">:     </w:t>
            </w:r>
          </w:p>
        </w:tc>
      </w:tr>
    </w:tbl>
    <w:p/>
    <w:p>
      <w:pPr>
        <w:ind w:firstLine="480"/>
      </w:pPr>
    </w:p>
    <w:p/>
    <w:p>
      <w:r>
        <w:rPr/>
        <w:t>合同包1（中山市坦洲人民医院安保服务（2022年12月1日至2025年11月30日））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三年（2022年12月1日至2025年11月30日），合同一年一签。</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1期：支付比例100%,1.每月由保卫科对保安工作进行评分，评分内容共12项，满分100分，按评分考核标准计算当月保安公司保安服务费。具体付款方式如下： （1）实得分≥96分，全额支付当月的保安服务费； （2）96分＞实得分≥90分，支付当月保安服务费的98%； （3）实得分＜90分，按相应比例支付当月保安服务费。例如：评分总数为84分，支付当月保安服务费的84%。</w:t>
            </w:r>
          </w:p>
        </w:tc>
      </w:tr>
      <w:tr>
        <w:tc>
          <w:tcPr>
            <w:tcW w:type="dxa" w:w="4153"/>
          </w:tcPr>
          <w:p>
            <w:r>
              <w:rPr/>
              <w:t>验收要求</w:t>
            </w:r>
          </w:p>
        </w:tc>
        <w:tc>
          <w:tcPr>
            <w:tcW w:type="dxa" w:w="4153"/>
          </w:tcPr>
          <w:p/>
          <w:p/>
          <w:p/>
          <w:p>
            <w:r>
              <w:rPr/>
              <w:t>1期：按照采购人要求。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安全服务</w:t>
            </w:r>
          </w:p>
        </w:tc>
        <w:tc>
          <w:tcPr>
            <w:tcW w:type="dxa" w:w="933"/>
          </w:tcPr>
          <w:p>
            <w:pPr>
              <w:jc w:val="left"/>
            </w:pPr>
            <w:r>
              <w:rPr/>
              <w:t>中山市坦洲人民医院安保服务</w:t>
            </w:r>
          </w:p>
        </w:tc>
        <w:tc>
          <w:tcPr>
            <w:tcW w:type="dxa" w:w="933"/>
          </w:tcPr>
          <w:p>
            <w:pPr>
              <w:jc w:val="left"/>
            </w:pPr>
            <w:r>
              <w:rPr/>
              <w:t>项</w:t>
            </w:r>
          </w:p>
        </w:tc>
        <w:tc>
          <w:tcPr>
            <w:tcW w:type="dxa" w:w="933"/>
          </w:tcPr>
          <w:p>
            <w:pPr>
              <w:jc w:val="right"/>
            </w:pPr>
            <w:r>
              <w:rPr/>
              <w:t>1.00</w:t>
            </w:r>
          </w:p>
        </w:tc>
        <w:tc>
          <w:tcPr>
            <w:tcW w:type="dxa" w:w="933"/>
          </w:tcPr>
          <w:p>
            <w:pPr>
              <w:jc w:val="right"/>
            </w:pPr>
            <w:r>
              <w:rPr/>
              <w:t>3,693,600.00</w:t>
            </w:r>
          </w:p>
        </w:tc>
        <w:tc>
          <w:tcPr>
            <w:tcW w:type="dxa" w:w="933"/>
          </w:tcPr>
          <w:p>
            <w:pPr>
              <w:jc w:val="right"/>
            </w:pPr>
            <w:r>
              <w:rPr/>
              <w:t>3,693,600.00</w:t>
            </w:r>
          </w:p>
        </w:tc>
        <w:tc>
          <w:tcPr>
            <w:tcW w:type="dxa" w:w="840"/>
          </w:tcPr>
          <w:p>
            <w:r>
              <w:rPr/>
              <w:t>物业管理</w:t>
            </w:r>
          </w:p>
        </w:tc>
        <w:tc>
          <w:tcPr>
            <w:tcW w:type="dxa" w:w="933"/>
          </w:tcPr>
          <w:p>
            <w:r>
              <w:rPr/>
              <w:t>详见附表一</w:t>
            </w:r>
          </w:p>
        </w:tc>
      </w:tr>
    </w:tbl>
    <w:p/>
    <w:p>
      <w:r>
        <w:rPr>
          <w:b/>
        </w:rPr>
        <w:t>附表</w:t>
      </w:r>
      <w:r>
        <w:rPr>
          <w:b/>
        </w:rPr>
        <w:t>一</w:t>
      </w:r>
      <w:r>
        <w:rPr>
          <w:b/>
        </w:rPr>
        <w:t>：</w:t>
      </w:r>
      <w:r>
        <w:rPr>
          <w:b/>
        </w:rPr>
        <w:t>中山市坦洲人民医院安保服务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color w:val="000000"/>
                <w:sz w:val="21"/>
              </w:rPr>
              <w:t>★</w:t>
            </w:r>
            <w:r>
              <w:rPr>
                <w:sz w:val="21"/>
              </w:rPr>
              <w:t>（一）服务期限：三年（</w:t>
            </w:r>
            <w:r>
              <w:rPr>
                <w:sz w:val="21"/>
              </w:rPr>
              <w:t>2022年12月1日至2025年11月30日）合同一年一签。</w:t>
            </w:r>
          </w:p>
        </w:tc>
      </w:tr>
      <w:tr>
        <w:tc>
          <w:tcPr>
            <w:tcW w:type="dxa" w:w="2076"/>
          </w:tcPr>
          <w:p>
            <w:r>
              <w:rPr/>
              <w:t>★</w:t>
            </w:r>
          </w:p>
        </w:tc>
        <w:tc>
          <w:tcPr>
            <w:tcW w:type="dxa" w:w="415"/>
          </w:tcPr>
          <w:p>
            <w:r>
              <w:rPr/>
              <w:t>2</w:t>
            </w:r>
          </w:p>
        </w:tc>
        <w:tc>
          <w:tcPr>
            <w:tcW w:type="dxa" w:w="5814"/>
          </w:tcPr>
          <w:p>
            <w:pPr>
              <w:jc w:val="both"/>
            </w:pPr>
            <w:r>
              <w:rPr>
                <w:color w:val="000000"/>
                <w:sz w:val="21"/>
              </w:rPr>
              <w:t>★2、人员配置：投标人派驻具备保安证的安保人员27人。派驻安保人员必须为身体健康、遵纪守法，无犯罪记录的男性。安保人员年龄不超55周岁，初中及以上学历。投标人派驻停车收费管理人员5人必须身体健康、遵纪守法、无犯罪记录的男性或女性，男性年龄不超60周岁，女性年龄不超55周岁，初中及以上学历。</w:t>
            </w:r>
          </w:p>
        </w:tc>
      </w:tr>
      <w:tr>
        <w:tc>
          <w:tcPr>
            <w:tcW w:type="dxa" w:w="2076"/>
          </w:tcPr>
          <w:p>
            <w:r>
              <w:rPr/>
              <w:t>★</w:t>
            </w:r>
          </w:p>
        </w:tc>
        <w:tc>
          <w:tcPr>
            <w:tcW w:type="dxa" w:w="415"/>
          </w:tcPr>
          <w:p>
            <w:r>
              <w:rPr/>
              <w:t>3</w:t>
            </w:r>
          </w:p>
        </w:tc>
        <w:tc>
          <w:tcPr>
            <w:tcW w:type="dxa" w:w="5814"/>
          </w:tcPr>
          <w:p>
            <w:r>
              <w:rPr/>
              <w:t>★5、投标人须承诺：消防控制室每班8小时，每班必须2人持有有效的政府相关职能部门发放的“建（构）筑物消防员证”或“消防设施操作员证”或由消防行业持有工种职业技能鉴定部门颁发的合格成绩单且持有保安证的人员上岗。</w:t>
            </w:r>
          </w:p>
        </w:tc>
      </w:tr>
      <w:tr>
        <w:tc>
          <w:tcPr>
            <w:tcW w:type="dxa" w:w="2076"/>
          </w:tcPr>
          <w:p>
            <w:r>
              <w:rPr/>
              <w:t>★</w:t>
            </w:r>
          </w:p>
        </w:tc>
        <w:tc>
          <w:tcPr>
            <w:tcW w:type="dxa" w:w="415"/>
          </w:tcPr>
          <w:p>
            <w:r>
              <w:rPr/>
              <w:t>4</w:t>
            </w:r>
          </w:p>
        </w:tc>
        <w:tc>
          <w:tcPr>
            <w:tcW w:type="dxa" w:w="5814"/>
          </w:tcPr>
          <w:p>
            <w:pPr>
              <w:jc w:val="both"/>
            </w:pPr>
            <w:r>
              <w:rPr>
                <w:color w:val="000000"/>
                <w:sz w:val="21"/>
              </w:rPr>
              <w:t>★8、</w:t>
            </w:r>
            <w:r>
              <w:rPr>
                <w:color w:val="000000"/>
                <w:sz w:val="21"/>
              </w:rPr>
              <w:t>派驻人员需身体健康，无传染性疾病，上岗前需取得健康证，经核酸检测阴性（核酸检测阴性要求包括试工人员）并经我院疫情防控岗前培训、考核合格才能上岗。健康体检费用、核酸检测费用由投标人自行承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中山市坦洲人民医院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采购机构代理服务收费标准：收取。 参照《招标代理服务收费管理暂行办法》中“服务类”计费标准收取。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坦洲人民医院安保服务（2022年12月1日至2025年11月30日）)：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采购包1（中山市坦洲人民医院安保服务（2022年12月1日至2025年11月30日））：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采购包1（中山市坦洲人民医院安保服务（2022年12月1日至2025年11月30日））：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投标时提供2020年度财务状况报告或2021年以来任何一个月的财务报表或基本开户行出具的资信证明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其他资格条件</w:t>
            </w:r>
          </w:p>
        </w:tc>
        <w:tc>
          <w:tcPr>
            <w:tcW w:type="dxa" w:w="4238"/>
          </w:tcPr>
          <w:p>
            <w:r>
              <w:rPr/>
              <w:t>投标人具有省、自治区、直辖市人民政府公安机关核发的《保安服务许可证》并在投标文件中提供证书复印件。</w:t>
            </w:r>
          </w:p>
        </w:tc>
      </w:tr>
      <w:tr>
        <w:tc>
          <w:tcPr>
            <w:tcW w:type="dxa" w:w="890"/>
          </w:tcPr>
          <w:p>
            <w:r>
              <w:rPr/>
              <w:t>7</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采购包1（中山市坦洲人民医院安保服务（2022年12月1日至2025年11月30日））：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带“★”号条款要求</w:t>
            </w:r>
          </w:p>
        </w:tc>
        <w:tc>
          <w:tcPr>
            <w:tcW w:type="dxa" w:w="4238"/>
          </w:tcPr>
          <w:p>
            <w:r>
              <w:rPr/>
              <w:t>实质性满足用户需求的带“★”号条款要求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采购包1中山市坦洲人民医院安保服务（2022年12月1日至2025年11月30日）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总体服务方案 (5.0分)</w:t>
            </w:r>
            <w:r>
              <w:rPr/>
              <w:t>，（等次分值选择：</w:t>
            </w:r>
            <w:r>
              <w:rPr/>
              <w:t>0.0;</w:t>
            </w:r>
            <w:r>
              <w:rPr/>
              <w:t>1.0;</w:t>
            </w:r>
            <w:r>
              <w:rPr/>
              <w:t>3.0;</w:t>
            </w:r>
            <w:r>
              <w:rPr/>
              <w:t>5.0;</w:t>
            </w:r>
            <w:r>
              <w:rPr/>
              <w:t>）</w:t>
            </w:r>
          </w:p>
        </w:tc>
        <w:tc>
          <w:tcPr>
            <w:tcW w:type="dxa" w:w="5076"/>
          </w:tcPr>
          <w:p>
            <w:pPr>
              <w:jc w:val="left"/>
            </w:pPr>
            <w:r>
              <w:rPr/>
              <w:t>评委对各投标人的总体服务模式及配套管理措施（对项目的熟悉程度、服务定位、管理目标、管理模式、质量保证）进行评审。⑴对项目理解深刻 、服务定位准确、管理理念先进、服务质量好、总体服务方案详细，得5 分；⑵对项目理解较深刻、服务定位较准确、管理理念较先进、服务质量较好、总体服务方案较详细，得3分；⑶对项目理解一般、服务定位一般 、管理理念一般、服务质量基本满足要求、总体服务方案基本满足要求， 得1分；⑷未提供总体服务方案，得0分。</w:t>
            </w:r>
          </w:p>
        </w:tc>
      </w:tr>
      <w:tr>
        <w:tc>
          <w:tcPr>
            <w:tcW w:type="dxa" w:w="922"/>
            <w:gridSpan w:val="2"/>
            <w:vMerge/>
          </w:tcPr>
          <w:p/>
        </w:tc>
        <w:tc>
          <w:tcPr>
            <w:tcW w:type="dxa" w:w="2307"/>
          </w:tcPr>
          <w:p>
            <w:pPr>
              <w:jc w:val="left"/>
            </w:pPr>
            <w:r>
              <w:rPr/>
              <w:t>巡逻服务方案 (10.0分)</w:t>
            </w:r>
            <w:r>
              <w:rPr/>
              <w:t>，（等次分值选择：</w:t>
            </w:r>
            <w:r>
              <w:rPr/>
              <w:t>0.0;</w:t>
            </w:r>
            <w:r>
              <w:rPr/>
              <w:t>2.0;</w:t>
            </w:r>
            <w:r>
              <w:rPr/>
              <w:t>6.0;</w:t>
            </w:r>
            <w:r>
              <w:rPr/>
              <w:t>10.0;</w:t>
            </w:r>
            <w:r>
              <w:rPr/>
              <w:t>）</w:t>
            </w:r>
          </w:p>
        </w:tc>
        <w:tc>
          <w:tcPr>
            <w:tcW w:type="dxa" w:w="5076"/>
          </w:tcPr>
          <w:p>
            <w:pPr>
              <w:jc w:val="left"/>
            </w:pPr>
            <w:r>
              <w:rPr/>
              <w:t>评委对各投标人的巡逻服务方案进行评审。⑴巡逻服务方案优于采购需求，得10分；⑵巡逻服务方案完全满足采购需求，得6分；⑶巡逻服务方案部分满足采购需求，得2分；⑷未提供巡逻服务方案，得0分。</w:t>
            </w:r>
          </w:p>
        </w:tc>
      </w:tr>
      <w:tr>
        <w:tc>
          <w:tcPr>
            <w:tcW w:type="dxa" w:w="922"/>
            <w:gridSpan w:val="2"/>
            <w:vMerge/>
          </w:tcPr>
          <w:p/>
        </w:tc>
        <w:tc>
          <w:tcPr>
            <w:tcW w:type="dxa" w:w="2307"/>
          </w:tcPr>
          <w:p>
            <w:pPr>
              <w:jc w:val="left"/>
            </w:pPr>
            <w:r>
              <w:rPr/>
              <w:t>门卫服务方案 (10.0分)</w:t>
            </w:r>
            <w:r>
              <w:rPr/>
              <w:t>，（等次分值选择：</w:t>
            </w:r>
            <w:r>
              <w:rPr/>
              <w:t>0.0;</w:t>
            </w:r>
            <w:r>
              <w:rPr/>
              <w:t>2.0;</w:t>
            </w:r>
            <w:r>
              <w:rPr/>
              <w:t>6.0;</w:t>
            </w:r>
            <w:r>
              <w:rPr/>
              <w:t>10.0;</w:t>
            </w:r>
            <w:r>
              <w:rPr/>
              <w:t>）</w:t>
            </w:r>
          </w:p>
        </w:tc>
        <w:tc>
          <w:tcPr>
            <w:tcW w:type="dxa" w:w="5076"/>
          </w:tcPr>
          <w:p>
            <w:pPr>
              <w:jc w:val="left"/>
            </w:pPr>
            <w:r>
              <w:rPr/>
              <w:t>评委对各投标人的门卫服务方案进行评审。⑴门卫服务方案优于采购需求，得10分；⑵门卫服务方案完全满足采购需求，得6分；⑶门卫服务方案部分满足采购需求，得2分；⑷未提供门卫服务方案，得0分。</w:t>
            </w:r>
          </w:p>
        </w:tc>
      </w:tr>
      <w:tr>
        <w:tc>
          <w:tcPr>
            <w:tcW w:type="dxa" w:w="922"/>
            <w:gridSpan w:val="2"/>
            <w:vMerge/>
          </w:tcPr>
          <w:p/>
        </w:tc>
        <w:tc>
          <w:tcPr>
            <w:tcW w:type="dxa" w:w="2307"/>
          </w:tcPr>
          <w:p>
            <w:pPr>
              <w:jc w:val="left"/>
            </w:pPr>
            <w:r>
              <w:rPr/>
              <w:t>守护服务方案 (10.0分)</w:t>
            </w:r>
            <w:r>
              <w:rPr/>
              <w:t>，（等次分值选择：</w:t>
            </w:r>
            <w:r>
              <w:rPr/>
              <w:t>0.0;</w:t>
            </w:r>
            <w:r>
              <w:rPr/>
              <w:t>2.0;</w:t>
            </w:r>
            <w:r>
              <w:rPr/>
              <w:t>6.0;</w:t>
            </w:r>
            <w:r>
              <w:rPr/>
              <w:t>10.0;</w:t>
            </w:r>
            <w:r>
              <w:rPr/>
              <w:t>）</w:t>
            </w:r>
          </w:p>
        </w:tc>
        <w:tc>
          <w:tcPr>
            <w:tcW w:type="dxa" w:w="5076"/>
          </w:tcPr>
          <w:p>
            <w:pPr>
              <w:jc w:val="left"/>
            </w:pPr>
            <w:r>
              <w:rPr/>
              <w:t>评委对各投标人的守护服务方案进行评审。⑴守护服务方案优于采购需求，得10分；⑵守护服务方案完全满足采购需求，得6分；⑶守护服务方案部分满足采购需求，得2分；⑷未提供守护服务方案，得0分。</w:t>
            </w:r>
          </w:p>
        </w:tc>
      </w:tr>
      <w:tr>
        <w:tc>
          <w:tcPr>
            <w:tcW w:type="dxa" w:w="922"/>
            <w:gridSpan w:val="2"/>
            <w:vMerge/>
          </w:tcPr>
          <w:p/>
        </w:tc>
        <w:tc>
          <w:tcPr>
            <w:tcW w:type="dxa" w:w="2307"/>
          </w:tcPr>
          <w:p>
            <w:pPr>
              <w:jc w:val="left"/>
            </w:pPr>
            <w:r>
              <w:rPr/>
              <w:t>企业管理情况 (5.0分)</w:t>
            </w:r>
            <w:r>
              <w:rPr/>
              <w:t>，（等次分值选择：</w:t>
            </w:r>
            <w:r>
              <w:rPr/>
              <w:t>0.0;</w:t>
            </w:r>
            <w:r>
              <w:rPr/>
              <w:t>1.0;</w:t>
            </w:r>
            <w:r>
              <w:rPr/>
              <w:t>3.0;</w:t>
            </w:r>
            <w:r>
              <w:rPr/>
              <w:t>5.0;</w:t>
            </w:r>
            <w:r>
              <w:rPr/>
              <w:t>）</w:t>
            </w:r>
          </w:p>
        </w:tc>
        <w:tc>
          <w:tcPr>
            <w:tcW w:type="dxa" w:w="5076"/>
          </w:tcPr>
          <w:p>
            <w:pPr>
              <w:jc w:val="left"/>
            </w:pPr>
            <w:r>
              <w:rPr/>
              <w:t>评委对各投标人的企业管理情况进行评审。⑴企业管理情况优于采购需求，得5分；⑵企业管理情况完全满足采购需求，得3分；⑶企业管理情况部分满足采购需求，得1分；⑷未提供企业管理情况，得0分。</w:t>
            </w:r>
          </w:p>
        </w:tc>
      </w:tr>
      <w:tr>
        <w:tc>
          <w:tcPr>
            <w:tcW w:type="dxa" w:w="922"/>
            <w:gridSpan w:val="2"/>
            <w:vMerge/>
          </w:tcPr>
          <w:p/>
        </w:tc>
        <w:tc>
          <w:tcPr>
            <w:tcW w:type="dxa" w:w="2307"/>
          </w:tcPr>
          <w:p>
            <w:pPr>
              <w:jc w:val="left"/>
            </w:pPr>
            <w:r>
              <w:rPr/>
              <w:t>服务响应方案 (5.0分)</w:t>
            </w:r>
            <w:r>
              <w:rPr/>
              <w:t>，（等次分值选择：</w:t>
            </w:r>
            <w:r>
              <w:rPr/>
              <w:t>0.0;</w:t>
            </w:r>
            <w:r>
              <w:rPr/>
              <w:t>1.0;</w:t>
            </w:r>
            <w:r>
              <w:rPr/>
              <w:t>3.0;</w:t>
            </w:r>
            <w:r>
              <w:rPr/>
              <w:t>5.0;</w:t>
            </w:r>
            <w:r>
              <w:rPr/>
              <w:t>）</w:t>
            </w:r>
          </w:p>
        </w:tc>
        <w:tc>
          <w:tcPr>
            <w:tcW w:type="dxa" w:w="5076"/>
          </w:tcPr>
          <w:p>
            <w:pPr>
              <w:jc w:val="left"/>
            </w:pPr>
            <w:r>
              <w:rPr/>
              <w:t>评委对各投标人提供的服务响应方案（含服务响应时间、处理问题能力等 ）进行评审。⑴服务响应方案优于采购需求，得5分；⑵服务响应方案完全满足采购需求，得3分；⑶服务响应方案部分满足采购需求，得1分；⑷ 未提供服务响应方案，得0分。</w:t>
            </w:r>
          </w:p>
        </w:tc>
      </w:tr>
      <w:tr>
        <w:tc>
          <w:tcPr>
            <w:tcW w:type="dxa" w:w="922"/>
            <w:gridSpan w:val="2"/>
            <w:vMerge/>
          </w:tcPr>
          <w:p/>
        </w:tc>
        <w:tc>
          <w:tcPr>
            <w:tcW w:type="dxa" w:w="2307"/>
          </w:tcPr>
          <w:p>
            <w:pPr>
              <w:jc w:val="left"/>
            </w:pPr>
            <w:r>
              <w:rPr/>
              <w:t>应急预案 (5.0分)</w:t>
            </w:r>
            <w:r>
              <w:rPr/>
              <w:t>，（等次分值选择：</w:t>
            </w:r>
            <w:r>
              <w:rPr/>
              <w:t>0.0;</w:t>
            </w:r>
            <w:r>
              <w:rPr/>
              <w:t>1.0;</w:t>
            </w:r>
            <w:r>
              <w:rPr/>
              <w:t>3.0;</w:t>
            </w:r>
            <w:r>
              <w:rPr/>
              <w:t>5.0;</w:t>
            </w:r>
            <w:r>
              <w:rPr/>
              <w:t>）</w:t>
            </w:r>
          </w:p>
        </w:tc>
        <w:tc>
          <w:tcPr>
            <w:tcW w:type="dxa" w:w="5076"/>
          </w:tcPr>
          <w:p>
            <w:pPr>
              <w:jc w:val="left"/>
            </w:pPr>
            <w:r>
              <w:rPr/>
              <w:t>评委对各投标人提供的突发事件应急预案进行评审。⑴应急预案优于采购需求，得5分；⑵应急预案完全满足采购需求，得3分；⑶应急预案部分满足采购需求，得1分；⑷未提供应急预案，得0分。</w:t>
            </w:r>
          </w:p>
        </w:tc>
      </w:tr>
      <w:tr>
        <w:tc>
          <w:tcPr>
            <w:tcW w:type="dxa" w:w="922"/>
            <w:gridSpan w:val="2"/>
            <w:vMerge w:val="restart"/>
          </w:tcPr>
          <w:p>
            <w:pPr>
              <w:jc w:val="center"/>
            </w:pPr>
            <w:r>
              <w:rPr/>
              <w:t>商务部分</w:t>
            </w:r>
          </w:p>
        </w:tc>
        <w:tc>
          <w:tcPr>
            <w:tcW w:type="dxa" w:w="2307"/>
          </w:tcPr>
          <w:p>
            <w:pPr>
              <w:jc w:val="left"/>
            </w:pPr>
            <w:r>
              <w:rPr/>
              <w:t>企业认证 (9.0分)</w:t>
            </w:r>
          </w:p>
        </w:tc>
        <w:tc>
          <w:tcPr>
            <w:tcW w:type="dxa" w:w="5076"/>
          </w:tcPr>
          <w:p>
            <w:pPr>
              <w:jc w:val="left"/>
            </w:pPr>
            <w:r>
              <w:rPr/>
              <w:t>⑴投标人具有有效的质量管理体系认证，得3分；⑵投标人具有有效的环境管理体系认证，得3分；⑶投标人具有有效的职业健康安全管理体系认证，得3分。注：⑴投标文件中提供加盖公章的认证证书复印件，未按要求提供的不得分。⑵提供上述认证证书通过国家认监委官方网站（http:// www.cnca.gov.cn/)查询的认证结果截图，查询截图中证书编号及获证组织名称（即投标人名称）须与所提供的认证证书一致，未按要求提供的不得分。</w:t>
            </w:r>
          </w:p>
        </w:tc>
      </w:tr>
      <w:tr>
        <w:tc>
          <w:tcPr>
            <w:tcW w:type="dxa" w:w="922"/>
            <w:gridSpan w:val="2"/>
            <w:vMerge/>
          </w:tcPr>
          <w:p/>
        </w:tc>
        <w:tc>
          <w:tcPr>
            <w:tcW w:type="dxa" w:w="2307"/>
          </w:tcPr>
          <w:p>
            <w:pPr>
              <w:jc w:val="left"/>
            </w:pPr>
            <w:r>
              <w:rPr/>
              <w:t>业绩 (20.0分)</w:t>
            </w:r>
          </w:p>
        </w:tc>
        <w:tc>
          <w:tcPr>
            <w:tcW w:type="dxa" w:w="5076"/>
          </w:tcPr>
          <w:p>
            <w:pPr>
              <w:jc w:val="left"/>
            </w:pPr>
            <w:r>
              <w:rPr/>
              <w:t>投标人2019年以来开展同类业绩情况： 每份业绩得5分，本项最高得20分。 注： 投标文件中提供加盖公章的业绩合同复印件，投标人提供的业绩合同，其合同服务期限是在2019年1月1日（含2019年1月1日）之后结束的 ，属于投标人2019年以来开展的同类业绩。</w:t>
            </w:r>
          </w:p>
        </w:tc>
      </w:tr>
      <w:tr>
        <w:tc>
          <w:tcPr>
            <w:tcW w:type="dxa" w:w="922"/>
            <w:gridSpan w:val="2"/>
            <w:vMerge/>
          </w:tcPr>
          <w:p/>
        </w:tc>
        <w:tc>
          <w:tcPr>
            <w:tcW w:type="dxa" w:w="2307"/>
          </w:tcPr>
          <w:p>
            <w:pPr>
              <w:jc w:val="left"/>
            </w:pPr>
            <w:r>
              <w:rPr/>
              <w:t>人力资源能力评审 (11.0分)</w:t>
            </w:r>
          </w:p>
        </w:tc>
        <w:tc>
          <w:tcPr>
            <w:tcW w:type="dxa" w:w="5076"/>
          </w:tcPr>
          <w:p>
            <w:pPr>
              <w:jc w:val="left"/>
            </w:pPr>
            <w:r>
              <w:rPr/>
              <w:t>1、拟投入本项目的项目负责人： ⑴持有有效的政府相关职能部门颁发的《保安员》职业资格证书：二级/技师或者以上级别的得5分，提供的资料未能体现证书等级的不得分；本小项最高得5分。 ⑵持有高中或以下学历得1分， 大专、本科或以上学历得3分；上述学历只取其最高档得分，不重复计分；本小项最高得分3分。  2、拟投入本项目人员（不含项目负责人）持有退役相关证书或退伍军人相关证书的，得3分；本小项最高得3分。 注：（1）提供上述证书复印件。（2） 以上岗位人员均为中标后拟投入本项目的人员。（3）提供上述人员用工形式证明材料：2022年以来任意1个月投标人为其缴纳的社保证明文件复印件并加盖公章。如果投标人成立时间或该人员入职不足1个月，则提供人员入职证明。代缴个税税单或参加社会保险的《投保单》或《社会保险参保人员证明》等证明均可。若投标人未能提供该人员社保的，可以在投标文件中提供相关承诺书原件并加盖公章，格式自拟，承诺书内容包括 但不限于以下内容：“若我单位中标，合同签订时保证按投标文件中所配备投入本项目的人员全部到位并提供所有人员以我单位缴纳的社保证明，否则视为我单位放弃中标资格”，视为满足评审要求。</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442000107-2022-00898</w:t>
      </w:r>
    </w:p>
    <w:p>
      <w:pPr>
        <w:jc w:val="center"/>
      </w:pPr>
      <w:r>
        <w:rPr>
          <w:b/>
          <w:sz w:val="24"/>
        </w:rPr>
        <w:t>采购项目编号：</w:t>
      </w:r>
      <w:r>
        <w:rPr>
          <w:b/>
          <w:sz w:val="24"/>
        </w:rPr>
        <w:t>ZSJD22ZC0106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中山市坦洲人民医院安保服务（2022年12月1日至2025年11月30日）</w:t>
      </w:r>
      <w:r>
        <w:rPr/>
        <w:t>项目的招标[采购项目编号为：</w:t>
      </w:r>
      <w:r>
        <w:rPr>
          <w:u w:val="single"/>
        </w:rPr>
        <w:t>ZSJD22ZC0106</w:t>
      </w:r>
      <w:r>
        <w:rPr/>
        <w:t>]，我方愿参与投标。</w:t>
      </w:r>
    </w:p>
    <w:p>
      <w:pPr>
        <w:ind w:firstLine="480"/>
      </w:pPr>
      <w:r>
        <w:rPr/>
        <w:t>我方确认收到贵方提供的</w:t>
      </w:r>
      <w:r>
        <w:rPr>
          <w:u w:val="single"/>
        </w:rPr>
        <w:t>中山市坦洲人民医院安保服务（2022年12月1日至2025年11月30日）</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中山市坦洲人民医院安保服务（2022年12月1日至2025年11月30日）</w:t>
      </w:r>
      <w:r>
        <w:rPr/>
        <w:t>项目采购[采购项目编号为</w:t>
      </w:r>
      <w:r>
        <w:rPr/>
        <w:t>ZSJD22ZC0106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中山市坦洲人民医院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中山市坦洲人民医院安保服务（2022年12月1日至2025年11月30日）</w:t>
      </w:r>
      <w:r>
        <w:rPr/>
        <w:t>招标中获中标（采购项目编号：</w:t>
      </w:r>
      <w:r>
        <w:rPr/>
        <w:t>ZSJD22ZC0106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中山市坦洲人民医院安保服务（2022年12月1日至2025年11月30日）</w:t>
      </w:r>
      <w:r>
        <w:rPr/>
        <w:t>项目（采购项目编号：</w:t>
      </w:r>
      <w:r>
        <w:rPr/>
        <w:t>ZSJD22ZC0106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