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442000107-2022-00825</w:t>
      </w:r>
    </w:p>
    <w:p>
      <w:pPr>
        <w:jc w:val="center"/>
      </w:pPr>
      <w:r>
        <w:rPr>
          <w:b/>
          <w:sz w:val="24"/>
        </w:rPr>
        <w:t>采购项目编号：</w:t>
      </w:r>
      <w:r>
        <w:rPr>
          <w:b/>
          <w:sz w:val="24"/>
        </w:rPr>
        <w:t>ZSJD22ZC0081</w:t>
      </w:r>
    </w:p>
    <w:p>
      <w:pPr>
        <w:jc w:val="center"/>
      </w:pPr>
      <w:r>
        <w:rPr>
          <w:b/>
          <w:sz w:val="24"/>
        </w:rPr>
        <w:t>项目名称：</w:t>
      </w:r>
      <w:r>
        <w:rPr>
          <w:b/>
          <w:sz w:val="24"/>
        </w:rPr>
        <w:t>中山市坦洲人民医院运送服务项目（2023年1月1日至2024年12月31日）</w:t>
      </w:r>
    </w:p>
    <w:p>
      <w:pPr>
        <w:jc w:val="center"/>
      </w:pPr>
      <w:r>
        <w:rPr>
          <w:b/>
          <w:sz w:val="24"/>
        </w:rPr>
        <w:t>采购人：</w:t>
      </w:r>
      <w:r>
        <w:rPr>
          <w:b/>
          <w:sz w:val="24"/>
        </w:rPr>
        <w:t>中山市坦洲人民医院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中山市坦洲人民医院</w:t>
      </w:r>
      <w:r>
        <w:rPr/>
        <w:t>的委托，采用</w:t>
      </w:r>
      <w:r>
        <w:rPr/>
        <w:t>公开招标</w:t>
      </w:r>
      <w:r>
        <w:rPr/>
        <w:t>方式组织采购</w:t>
      </w:r>
      <w:r>
        <w:rPr/>
        <w:t>中山市坦洲人民医院运送服务项目（2023年1月1日至2024年12月31日）</w:t>
      </w:r>
      <w:r>
        <w:rPr/>
        <w:t>。欢迎符合资格条件的国内供应商参加投标。</w:t>
      </w:r>
    </w:p>
    <w:p>
      <w:r>
        <w:rPr>
          <w:b/>
          <w:sz w:val="28"/>
        </w:rPr>
        <w:t>一.项目概述</w:t>
      </w:r>
    </w:p>
    <w:p>
      <w:r>
        <w:rPr>
          <w:b/>
          <w:sz w:val="24"/>
        </w:rPr>
        <w:t>1.名称与编号</w:t>
      </w:r>
    </w:p>
    <w:p>
      <w:pPr>
        <w:ind w:firstLine="480"/>
      </w:pPr>
      <w:r>
        <w:rPr/>
        <w:t>项目名称：</w:t>
      </w:r>
      <w:r>
        <w:rPr/>
        <w:t>中山市坦洲人民医院运送服务项目（2023年1月1日至2024年12月31日）</w:t>
      </w:r>
    </w:p>
    <w:p>
      <w:pPr>
        <w:ind w:firstLine="480"/>
      </w:pPr>
      <w:r>
        <w:rPr/>
        <w:t>采购计划编号：</w:t>
      </w:r>
      <w:r>
        <w:rPr/>
        <w:t>442000107-2022-00825</w:t>
      </w:r>
    </w:p>
    <w:p>
      <w:pPr>
        <w:ind w:firstLine="480"/>
      </w:pPr>
      <w:r>
        <w:rPr/>
        <w:t>采购项目编号：</w:t>
      </w:r>
      <w:r>
        <w:rPr/>
        <w:t>ZSJD22ZC0081</w:t>
      </w:r>
    </w:p>
    <w:p>
      <w:pPr>
        <w:ind w:firstLine="480"/>
      </w:pPr>
      <w:r>
        <w:rPr/>
        <w:t>采购方式：</w:t>
      </w:r>
      <w:r>
        <w:rPr/>
        <w:t>公开招标</w:t>
      </w:r>
    </w:p>
    <w:p>
      <w:pPr>
        <w:ind w:firstLine="480"/>
      </w:pPr>
      <w:r>
        <w:rPr/>
        <w:t>预算金额：</w:t>
      </w:r>
      <w:r>
        <w:rPr/>
        <w:t>2,649,600.00</w:t>
      </w:r>
      <w:r>
        <w:rPr/>
        <w:t>元</w:t>
      </w:r>
    </w:p>
    <w:p>
      <w:r>
        <w:rPr>
          <w:b/>
          <w:sz w:val="24"/>
        </w:rPr>
        <w:t>2.项目内容及需求情况（采购项目技术规格、参数及要求）</w:t>
      </w:r>
    </w:p>
    <w:p>
      <w:pPr>
        <w:ind w:firstLine="480"/>
      </w:pPr>
    </w:p>
    <w:p/>
    <w:p>
      <w:r>
        <w:rPr/>
        <w:t>采购包1(中山市坦洲人民医院运送服务项目（2023年1月1日至2024年12月31日）):</w:t>
      </w:r>
    </w:p>
    <w:p>
      <w:r>
        <w:rPr/>
        <w:t>采购包预算金额：2,649,600.00元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医院服务</w:t>
            </w:r>
          </w:p>
        </w:tc>
        <w:tc>
          <w:tcPr>
            <w:tcW w:type="dxa" w:w="2136"/>
          </w:tcPr>
          <w:p>
            <w:r>
              <w:rPr/>
              <w:t>医疗运送</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合同履行期限：2023年1月1日至2024年12月31日（合同一年一签）</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投标人必须具有良好的商业信誉和健全的财务会计制度（提供2021年度财务状况报告或投标截止日前12个月内任意1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采购包1（中山市坦洲人民医院运送服务项目（2023年1月1日至2024年12月31日））：</w:t>
      </w:r>
      <w:r>
        <w:rPr/>
        <w:t>本项目属于专门面向中小企业采购的项目</w:t>
      </w:r>
    </w:p>
    <w:p/>
    <w:p>
      <w:r>
        <w:rPr>
          <w:b/>
          <w:sz w:val="24"/>
        </w:rPr>
        <w:t>3.本项目特定的资格要求：</w:t>
      </w:r>
    </w:p>
    <w:p>
      <w:pPr>
        <w:ind w:firstLine="480"/>
      </w:pPr>
    </w:p>
    <w:p/>
    <w:p>
      <w:r>
        <w:rPr/>
        <w:t>采购包1（中山市坦洲人民医院运送服务项目（2023年1月1日至2024年12月31日））：</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中山市坦洲人民医院</w:t>
      </w:r>
    </w:p>
    <w:p>
      <w:pPr>
        <w:ind w:firstLine="480"/>
      </w:pPr>
      <w:r>
        <w:rPr/>
        <w:t>地址：</w:t>
      </w:r>
      <w:r>
        <w:rPr/>
        <w:t>中山市坦洲镇德秀路10号</w:t>
      </w:r>
    </w:p>
    <w:p>
      <w:pPr>
        <w:ind w:firstLine="480"/>
      </w:pPr>
      <w:r>
        <w:rPr/>
        <w:t>联系方式：</w:t>
      </w:r>
      <w:r>
        <w:rPr/>
        <w:t>0760-23639966</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 xml:space="preserve">   一、</w:t>
      </w:r>
      <w:r>
        <w:rPr>
          <w:b/>
          <w:sz w:val="21"/>
        </w:rPr>
        <w:t>项目概况</w:t>
      </w:r>
    </w:p>
    <w:p>
      <w:pPr>
        <w:jc w:val="both"/>
      </w:pPr>
      <w:r>
        <w:rPr>
          <w:b/>
          <w:sz w:val="21"/>
        </w:rPr>
        <w:t xml:space="preserve">    1</w:t>
      </w:r>
      <w:r>
        <w:rPr>
          <w:b/>
          <w:sz w:val="21"/>
        </w:rPr>
        <w:t>、项目名称：中山市坦洲人民医院运送服务项目（</w:t>
      </w:r>
      <w:r>
        <w:rPr>
          <w:b/>
          <w:sz w:val="21"/>
        </w:rPr>
        <w:t>2023年1月1日至2024年12月31日）</w:t>
      </w:r>
    </w:p>
    <w:p>
      <w:pPr>
        <w:jc w:val="both"/>
      </w:pPr>
      <w:r>
        <w:rPr>
          <w:b/>
          <w:sz w:val="21"/>
        </w:rPr>
        <w:t xml:space="preserve">    2、采购预算及最高限价：人民币2649600.00元</w:t>
      </w:r>
    </w:p>
    <w:p>
      <w:pPr>
        <w:ind w:firstLine="420"/>
      </w:pPr>
      <w:r>
        <w:rPr>
          <w:sz w:val="21"/>
        </w:rPr>
        <w:t>3、★投标人须满足所有招标采购服务需求中的星号条款，对每一条星号条款作出书面承诺（格式自拟）。</w:t>
      </w:r>
    </w:p>
    <w:p>
      <w:pPr>
        <w:ind w:firstLine="420"/>
      </w:pPr>
      <w:r>
        <w:rPr>
          <w:sz w:val="21"/>
        </w:rPr>
        <w:t>4</w:t>
      </w:r>
      <w:r>
        <w:rPr>
          <w:sz w:val="21"/>
        </w:rPr>
        <w:t>、</w:t>
      </w:r>
      <w:r>
        <w:rPr>
          <w:sz w:val="21"/>
        </w:rPr>
        <w:t>★2023年1月1日至2024年12月31日（合同一年一签）。</w:t>
      </w:r>
    </w:p>
    <w:p>
      <w:pPr>
        <w:jc w:val="both"/>
      </w:pPr>
    </w:p>
    <w:p>
      <w:pPr>
        <w:jc w:val="both"/>
      </w:pPr>
      <w:r>
        <w:rPr>
          <w:b/>
          <w:sz w:val="21"/>
        </w:rPr>
        <w:t xml:space="preserve">   二、服务内容</w:t>
      </w:r>
    </w:p>
    <w:p>
      <w:pPr>
        <w:ind w:firstLine="425"/>
        <w:jc w:val="both"/>
      </w:pPr>
      <w:r>
        <w:rPr>
          <w:sz w:val="21"/>
        </w:rPr>
        <w:t>1、医院病人、标本的运送和检验、检查单的收发。</w:t>
      </w:r>
    </w:p>
    <w:p>
      <w:pPr>
        <w:ind w:firstLine="425"/>
        <w:jc w:val="both"/>
      </w:pPr>
      <w:r>
        <w:rPr>
          <w:sz w:val="21"/>
        </w:rPr>
        <w:t>2、医院病人转运车床、轮椅、担架、救护车等转运工具的管理（包括清洁、消毒等）。</w:t>
      </w:r>
    </w:p>
    <w:p>
      <w:pPr>
        <w:ind w:firstLine="425"/>
        <w:jc w:val="both"/>
      </w:pPr>
      <w:r>
        <w:rPr>
          <w:sz w:val="21"/>
        </w:rPr>
        <w:t>3、会诊单的派送。</w:t>
      </w:r>
    </w:p>
    <w:p>
      <w:pPr>
        <w:ind w:firstLine="425"/>
        <w:jc w:val="both"/>
      </w:pPr>
      <w:r>
        <w:rPr>
          <w:sz w:val="21"/>
        </w:rPr>
        <w:t>4、尸体的运送。</w:t>
      </w:r>
    </w:p>
    <w:p>
      <w:pPr>
        <w:ind w:firstLine="425"/>
        <w:jc w:val="both"/>
      </w:pPr>
      <w:r>
        <w:rPr>
          <w:sz w:val="21"/>
        </w:rPr>
        <w:t>5、医院、科室交办的其他任务。</w:t>
      </w:r>
    </w:p>
    <w:p>
      <w:pPr>
        <w:ind w:firstLine="425"/>
        <w:jc w:val="both"/>
      </w:pPr>
      <w:r>
        <w:rPr>
          <w:b/>
          <w:color w:val="000000"/>
          <w:sz w:val="21"/>
        </w:rPr>
        <w:t>三、</w:t>
      </w:r>
      <w:r>
        <w:rPr>
          <w:b/>
          <w:color w:val="000000"/>
          <w:sz w:val="21"/>
        </w:rPr>
        <w:t>岗位配置</w:t>
      </w:r>
    </w:p>
    <w:p>
      <w:pPr>
        <w:ind w:firstLine="425"/>
        <w:jc w:val="both"/>
      </w:pPr>
      <w:r>
        <w:rPr>
          <w:color w:val="000000"/>
          <w:sz w:val="21"/>
        </w:rPr>
        <w:t>1.、</w:t>
      </w:r>
      <w:r>
        <w:rPr>
          <w:sz w:val="21"/>
        </w:rPr>
        <w:t>详见《中山市坦洲人民医院运送岗位人员配置需求表》</w:t>
      </w:r>
    </w:p>
    <w:p>
      <w:pPr>
        <w:jc w:val="both"/>
      </w:pPr>
      <w:r>
        <w:rPr>
          <w:color w:val="000000"/>
          <w:sz w:val="21"/>
        </w:rPr>
        <w:t xml:space="preserve">            中山市坦洲人民医院运送岗位人员配置需求表</w:t>
      </w:r>
    </w:p>
    <w:p>
      <w:pPr>
        <w:jc w:val="both"/>
      </w:pPr>
      <w:r>
        <w:rPr>
          <w:color w:val="000000"/>
          <w:sz w:val="21"/>
        </w:rPr>
        <w:t xml:space="preserve">              （</w:t>
      </w:r>
      <w:r>
        <w:rPr>
          <w:color w:val="000000"/>
          <w:sz w:val="21"/>
        </w:rPr>
        <w:t>2023年1月1日至2024年12月31日）</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875"/>
        <w:gridCol w:w="4715"/>
        <w:gridCol w:w="1284"/>
        <w:gridCol w:w="1401"/>
      </w:tblGrid>
      <w:tr>
        <w:tc>
          <w:tcPr>
            <w:tcW w:type="dxa" w:w="875"/>
            <w:tcBorders>
              <w:top w:val="single" w:color="000000" w:sz="8"/>
              <w:left w:val="single" w:color="000000" w:sz="8"/>
              <w:bottom w:val="single" w:color="000000" w:sz="8"/>
              <w:right w:val="single" w:color="000000" w:sz="8"/>
            </w:tcBorders>
            <w:vAlign w:val="top"/>
          </w:tcPr>
          <w:p>
            <w:pPr>
              <w:jc w:val="both"/>
            </w:pPr>
            <w:r>
              <w:rPr>
                <w:b/>
                <w:sz w:val="21"/>
              </w:rPr>
              <w:t>序号</w:t>
            </w:r>
          </w:p>
        </w:tc>
        <w:tc>
          <w:tcPr>
            <w:tcW w:type="dxa" w:w="4715"/>
            <w:tcBorders>
              <w:top w:val="single" w:color="000000" w:sz="8"/>
              <w:left w:val="single" w:color="000000" w:sz="8"/>
              <w:bottom w:val="single" w:color="000000" w:sz="8"/>
              <w:right w:val="single" w:color="000000" w:sz="8"/>
            </w:tcBorders>
            <w:vAlign w:val="top"/>
          </w:tcPr>
          <w:p>
            <w:pPr>
              <w:jc w:val="both"/>
            </w:pPr>
            <w:r>
              <w:rPr>
                <w:b/>
                <w:sz w:val="21"/>
              </w:rPr>
              <w:t>岗位（范围）</w:t>
            </w:r>
          </w:p>
        </w:tc>
        <w:tc>
          <w:tcPr>
            <w:tcW w:type="dxa" w:w="1284"/>
            <w:tcBorders>
              <w:top w:val="single" w:color="000000" w:sz="8"/>
              <w:left w:val="single" w:color="000000" w:sz="8"/>
              <w:bottom w:val="single" w:color="000000" w:sz="8"/>
              <w:right w:val="single" w:color="000000" w:sz="8"/>
            </w:tcBorders>
            <w:vAlign w:val="top"/>
          </w:tcPr>
          <w:p>
            <w:pPr>
              <w:jc w:val="both"/>
            </w:pPr>
            <w:r>
              <w:rPr>
                <w:b/>
                <w:sz w:val="21"/>
              </w:rPr>
              <w:t>工种</w:t>
            </w:r>
          </w:p>
        </w:tc>
        <w:tc>
          <w:tcPr>
            <w:tcW w:type="dxa" w:w="1401"/>
            <w:tcBorders>
              <w:top w:val="single" w:color="000000" w:sz="8"/>
              <w:left w:val="single" w:color="000000" w:sz="8"/>
              <w:bottom w:val="single" w:color="000000" w:sz="8"/>
              <w:right w:val="single" w:color="000000" w:sz="8"/>
            </w:tcBorders>
            <w:vAlign w:val="top"/>
          </w:tcPr>
          <w:p>
            <w:pPr>
              <w:jc w:val="both"/>
            </w:pPr>
            <w:r>
              <w:rPr>
                <w:b/>
                <w:sz w:val="21"/>
              </w:rPr>
              <w:t>人数（名）</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1</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产科病区</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2</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产房</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3</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妇科病区</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4</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儿科病区</w:t>
            </w:r>
            <w:r>
              <w:rPr>
                <w:sz w:val="21"/>
              </w:rPr>
              <w:t>（含新生儿病区）</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2</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5</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外一科病区</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6</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外二科病区</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7</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外三科病区</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8</w:t>
            </w:r>
          </w:p>
        </w:tc>
        <w:tc>
          <w:tcPr>
            <w:tcW w:type="dxa" w:w="4715"/>
            <w:tcBorders>
              <w:top w:val="none" w:color="000000" w:sz="4"/>
              <w:left w:val="single" w:color="000000" w:sz="8"/>
              <w:bottom w:val="single" w:color="000000" w:sz="8"/>
              <w:right w:val="single" w:color="000000" w:sz="8"/>
            </w:tcBorders>
            <w:vAlign w:val="top"/>
          </w:tcPr>
          <w:p>
            <w:r>
              <w:rPr>
                <w:sz w:val="21"/>
              </w:rPr>
              <w:t>神经内科</w:t>
            </w:r>
            <w:r>
              <w:rPr>
                <w:sz w:val="21"/>
              </w:rPr>
              <w:t>病</w:t>
            </w:r>
            <w:r>
              <w:rPr>
                <w:sz w:val="21"/>
              </w:rPr>
              <w:t>、耳鼻喉科病区</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9</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内二科、心内科</w:t>
            </w:r>
            <w:r>
              <w:rPr>
                <w:sz w:val="21"/>
              </w:rPr>
              <w:t>、呼吸内科</w:t>
            </w:r>
            <w:r>
              <w:rPr>
                <w:sz w:val="21"/>
              </w:rPr>
              <w:t>病区</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1</w:t>
            </w:r>
            <w:r>
              <w:rPr>
                <w:sz w:val="21"/>
              </w:rPr>
              <w:t>0</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内三科、中医科</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1</w:t>
            </w:r>
            <w:r>
              <w:rPr>
                <w:sz w:val="21"/>
              </w:rPr>
              <w:t>1</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ICU</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1</w:t>
            </w:r>
            <w:r>
              <w:rPr>
                <w:sz w:val="21"/>
              </w:rPr>
              <w:t>2</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急诊科</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6</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1</w:t>
            </w:r>
            <w:r>
              <w:rPr>
                <w:sz w:val="21"/>
              </w:rPr>
              <w:t>3</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夜班</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2</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14</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机动、休息顶班</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运送员</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3</w:t>
            </w:r>
          </w:p>
        </w:tc>
      </w:tr>
      <w:tr>
        <w:tc>
          <w:tcPr>
            <w:tcW w:type="dxa" w:w="875"/>
            <w:tcBorders>
              <w:top w:val="none" w:color="000000" w:sz="4"/>
              <w:left w:val="single" w:color="000000" w:sz="8"/>
              <w:bottom w:val="single" w:color="000000" w:sz="8"/>
              <w:right w:val="single" w:color="000000" w:sz="8"/>
            </w:tcBorders>
            <w:vAlign w:val="top"/>
          </w:tcPr>
          <w:p>
            <w:pPr>
              <w:jc w:val="both"/>
            </w:pPr>
            <w:r>
              <w:rPr>
                <w:sz w:val="21"/>
              </w:rPr>
              <w:t>1</w:t>
            </w:r>
            <w:r>
              <w:rPr>
                <w:sz w:val="21"/>
              </w:rPr>
              <w:t>5</w:t>
            </w:r>
          </w:p>
        </w:tc>
        <w:tc>
          <w:tcPr>
            <w:tcW w:type="dxa" w:w="4715"/>
            <w:tcBorders>
              <w:top w:val="none" w:color="000000" w:sz="4"/>
              <w:left w:val="single" w:color="000000" w:sz="8"/>
              <w:bottom w:val="single" w:color="000000" w:sz="8"/>
              <w:right w:val="single" w:color="000000" w:sz="8"/>
            </w:tcBorders>
            <w:vAlign w:val="top"/>
          </w:tcPr>
          <w:p>
            <w:pPr>
              <w:jc w:val="both"/>
            </w:pPr>
            <w:r>
              <w:rPr>
                <w:sz w:val="21"/>
              </w:rPr>
              <w:t>培训、主管</w:t>
            </w:r>
          </w:p>
        </w:tc>
        <w:tc>
          <w:tcPr>
            <w:tcW w:type="dxa" w:w="1284"/>
            <w:tcBorders>
              <w:top w:val="none" w:color="000000" w:sz="4"/>
              <w:left w:val="single" w:color="000000" w:sz="8"/>
              <w:bottom w:val="single" w:color="000000" w:sz="8"/>
              <w:right w:val="single" w:color="000000" w:sz="8"/>
            </w:tcBorders>
            <w:vAlign w:val="top"/>
          </w:tcPr>
          <w:p>
            <w:pPr>
              <w:jc w:val="both"/>
            </w:pPr>
            <w:r>
              <w:rPr>
                <w:sz w:val="21"/>
              </w:rPr>
              <w:t>主管</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1</w:t>
            </w:r>
          </w:p>
        </w:tc>
      </w:tr>
      <w:tr>
        <w:tc>
          <w:tcPr>
            <w:tcW w:type="dxa" w:w="6874"/>
            <w:gridSpan w:val="3"/>
            <w:tcBorders>
              <w:top w:val="none" w:color="000000" w:sz="4"/>
              <w:left w:val="single" w:color="000000" w:sz="8"/>
              <w:bottom w:val="single" w:color="000000" w:sz="8"/>
              <w:right w:val="single" w:color="000000" w:sz="8"/>
            </w:tcBorders>
            <w:vAlign w:val="top"/>
          </w:tcPr>
          <w:p>
            <w:pPr>
              <w:jc w:val="both"/>
            </w:pPr>
            <w:r>
              <w:rPr>
                <w:sz w:val="21"/>
              </w:rPr>
              <w:t>共计</w:t>
            </w:r>
          </w:p>
        </w:tc>
        <w:tc>
          <w:tcPr>
            <w:tcW w:type="dxa" w:w="1401"/>
            <w:tcBorders>
              <w:top w:val="none" w:color="000000" w:sz="4"/>
              <w:left w:val="single" w:color="000000" w:sz="8"/>
              <w:bottom w:val="single" w:color="000000" w:sz="8"/>
              <w:right w:val="single" w:color="000000" w:sz="8"/>
            </w:tcBorders>
            <w:vAlign w:val="top"/>
          </w:tcPr>
          <w:p>
            <w:pPr>
              <w:jc w:val="both"/>
            </w:pPr>
            <w:r>
              <w:rPr>
                <w:sz w:val="21"/>
              </w:rPr>
              <w:t>24</w:t>
            </w:r>
          </w:p>
        </w:tc>
      </w:tr>
    </w:tbl>
    <w:p>
      <w:pPr>
        <w:jc w:val="both"/>
      </w:pPr>
    </w:p>
    <w:p>
      <w:pPr>
        <w:jc w:val="both"/>
      </w:pPr>
    </w:p>
    <w:p>
      <w:pPr>
        <w:jc w:val="both"/>
      </w:pPr>
    </w:p>
    <w:p>
      <w:pPr>
        <w:jc w:val="both"/>
      </w:pPr>
    </w:p>
    <w:p>
      <w:pPr>
        <w:jc w:val="both"/>
      </w:pPr>
    </w:p>
    <w:p>
      <w:pPr>
        <w:jc w:val="both"/>
      </w:pPr>
    </w:p>
    <w:p>
      <w:pPr>
        <w:ind w:firstLine="420"/>
        <w:jc w:val="both"/>
      </w:pPr>
      <w:r>
        <w:rPr>
          <w:sz w:val="21"/>
        </w:rPr>
        <w:t>2</w:t>
      </w:r>
      <w:r>
        <w:rPr>
          <w:sz w:val="21"/>
        </w:rPr>
        <w:t>、 工作时间安排</w:t>
      </w:r>
    </w:p>
    <w:p>
      <w:pPr>
        <w:ind w:firstLine="420"/>
        <w:jc w:val="both"/>
      </w:pPr>
      <w:r>
        <w:rPr>
          <w:sz w:val="21"/>
        </w:rPr>
        <w:t>（</w:t>
      </w:r>
      <w:r>
        <w:rPr>
          <w:sz w:val="21"/>
        </w:rPr>
        <w:t>1</w:t>
      </w:r>
      <w:r>
        <w:rPr>
          <w:sz w:val="21"/>
        </w:rPr>
        <w:t>） 病人护送、标本送检和检验、检查单的收发：急诊确保</w:t>
      </w:r>
      <w:r>
        <w:rPr>
          <w:sz w:val="21"/>
        </w:rPr>
        <w:t>24</w:t>
      </w:r>
      <w:r>
        <w:rPr>
          <w:sz w:val="21"/>
        </w:rPr>
        <w:t>小时服务不间断，每班至少</w:t>
      </w:r>
      <w:r>
        <w:rPr>
          <w:sz w:val="21"/>
        </w:rPr>
        <w:t>2</w:t>
      </w:r>
      <w:r>
        <w:rPr>
          <w:sz w:val="21"/>
        </w:rPr>
        <w:t>名运送员；各病区白班时间为</w:t>
      </w:r>
      <w:r>
        <w:rPr>
          <w:sz w:val="21"/>
        </w:rPr>
        <w:t>7:30</w:t>
      </w:r>
      <w:r>
        <w:rPr>
          <w:sz w:val="21"/>
        </w:rPr>
        <w:t>—</w:t>
      </w:r>
      <w:r>
        <w:rPr>
          <w:sz w:val="21"/>
        </w:rPr>
        <w:t>16:30</w:t>
      </w:r>
      <w:r>
        <w:rPr>
          <w:sz w:val="21"/>
        </w:rPr>
        <w:t>，每个岗位每班至少</w:t>
      </w:r>
      <w:r>
        <w:rPr>
          <w:sz w:val="21"/>
        </w:rPr>
        <w:t>1</w:t>
      </w:r>
      <w:r>
        <w:rPr>
          <w:sz w:val="21"/>
        </w:rPr>
        <w:t>名运送员；病区夜班共用</w:t>
      </w:r>
      <w:r>
        <w:rPr>
          <w:sz w:val="21"/>
        </w:rPr>
        <w:t>2</w:t>
      </w:r>
      <w:r>
        <w:rPr>
          <w:sz w:val="21"/>
        </w:rPr>
        <w:t>名运送员，工作时间为</w:t>
      </w:r>
      <w:r>
        <w:rPr>
          <w:sz w:val="21"/>
        </w:rPr>
        <w:t>16:30</w:t>
      </w:r>
      <w:r>
        <w:rPr>
          <w:sz w:val="21"/>
        </w:rPr>
        <w:t>—次日</w:t>
      </w:r>
      <w:r>
        <w:rPr>
          <w:sz w:val="21"/>
        </w:rPr>
        <w:t>7:30</w:t>
      </w:r>
      <w:r>
        <w:rPr>
          <w:sz w:val="21"/>
        </w:rPr>
        <w:t>（上半夜</w:t>
      </w:r>
      <w:r>
        <w:rPr>
          <w:sz w:val="21"/>
        </w:rPr>
        <w:t>1</w:t>
      </w:r>
      <w:r>
        <w:rPr>
          <w:sz w:val="21"/>
        </w:rPr>
        <w:t>名、下半夜</w:t>
      </w:r>
      <w:r>
        <w:rPr>
          <w:sz w:val="21"/>
        </w:rPr>
        <w:t>1</w:t>
      </w:r>
      <w:r>
        <w:rPr>
          <w:sz w:val="21"/>
        </w:rPr>
        <w:t>名）。</w:t>
      </w:r>
    </w:p>
    <w:p>
      <w:pPr>
        <w:ind w:firstLine="420"/>
        <w:jc w:val="both"/>
      </w:pPr>
      <w:r>
        <w:rPr>
          <w:sz w:val="21"/>
        </w:rPr>
        <w:t>（</w:t>
      </w:r>
      <w:r>
        <w:rPr>
          <w:sz w:val="21"/>
        </w:rPr>
        <w:t>2</w:t>
      </w:r>
      <w:r>
        <w:rPr>
          <w:sz w:val="21"/>
        </w:rPr>
        <w:t>）其他工作根据院方要求合理安排时间，确保及时完成工作。</w:t>
      </w:r>
    </w:p>
    <w:p>
      <w:pPr>
        <w:ind w:firstLine="420"/>
        <w:jc w:val="both"/>
      </w:pPr>
      <w:r>
        <w:rPr>
          <w:b/>
          <w:sz w:val="21"/>
        </w:rPr>
        <w:t>四、</w:t>
      </w:r>
      <w:r>
        <w:rPr>
          <w:b/>
          <w:sz w:val="21"/>
        </w:rPr>
        <w:t>服务要求</w:t>
      </w:r>
    </w:p>
    <w:p>
      <w:pPr>
        <w:ind w:firstLine="420"/>
        <w:jc w:val="both"/>
      </w:pPr>
      <w:r>
        <w:rPr>
          <w:sz w:val="21"/>
        </w:rPr>
        <w:t>（一）日常工作要求</w:t>
      </w:r>
    </w:p>
    <w:p>
      <w:pPr>
        <w:ind w:firstLine="420"/>
        <w:jc w:val="both"/>
      </w:pPr>
      <w:r>
        <w:rPr>
          <w:sz w:val="21"/>
        </w:rPr>
        <w:t>1、</w:t>
      </w:r>
      <w:r>
        <w:rPr>
          <w:sz w:val="21"/>
        </w:rPr>
        <w:t>运送服务：对标本的运送要严格、规范操作；对病人的护送要细心、周到、热情；</w:t>
      </w:r>
    </w:p>
    <w:p>
      <w:pPr>
        <w:ind w:firstLine="420"/>
        <w:jc w:val="both"/>
      </w:pPr>
      <w:r>
        <w:rPr>
          <w:sz w:val="21"/>
        </w:rPr>
        <w:t>2、</w:t>
      </w:r>
      <w:r>
        <w:rPr>
          <w:sz w:val="21"/>
        </w:rPr>
        <w:t>对报告单的收发要及时、准确；</w:t>
      </w:r>
    </w:p>
    <w:p>
      <w:pPr>
        <w:ind w:firstLine="420"/>
        <w:jc w:val="both"/>
      </w:pPr>
      <w:r>
        <w:rPr>
          <w:sz w:val="21"/>
        </w:rPr>
        <w:t>3、</w:t>
      </w:r>
      <w:r>
        <w:rPr>
          <w:sz w:val="21"/>
        </w:rPr>
        <w:t>对科室的要求要积极配合。</w:t>
      </w:r>
    </w:p>
    <w:p>
      <w:pPr>
        <w:ind w:firstLine="420"/>
        <w:jc w:val="both"/>
      </w:pPr>
      <w:r>
        <w:rPr>
          <w:sz w:val="21"/>
        </w:rPr>
        <w:t>（</w:t>
      </w:r>
      <w:r>
        <w:rPr>
          <w:sz w:val="21"/>
        </w:rPr>
        <w:t>二</w:t>
      </w:r>
      <w:r>
        <w:rPr>
          <w:sz w:val="21"/>
        </w:rPr>
        <w:t>）日常用语</w:t>
      </w:r>
    </w:p>
    <w:p>
      <w:pPr>
        <w:ind w:firstLine="420"/>
        <w:jc w:val="both"/>
      </w:pPr>
      <w:r>
        <w:rPr>
          <w:sz w:val="21"/>
        </w:rPr>
        <w:t>请进！</w:t>
      </w:r>
    </w:p>
    <w:p>
      <w:pPr>
        <w:ind w:firstLine="420"/>
        <w:jc w:val="both"/>
      </w:pPr>
      <w:r>
        <w:rPr>
          <w:sz w:val="21"/>
        </w:rPr>
        <w:t>您好！早上好；请坐；请喝水。</w:t>
      </w:r>
    </w:p>
    <w:p>
      <w:pPr>
        <w:ind w:firstLine="420"/>
        <w:jc w:val="both"/>
      </w:pPr>
      <w:r>
        <w:rPr>
          <w:sz w:val="21"/>
        </w:rPr>
        <w:t>请稍等。</w:t>
      </w:r>
    </w:p>
    <w:p>
      <w:pPr>
        <w:ind w:firstLine="420"/>
        <w:jc w:val="both"/>
      </w:pPr>
      <w:r>
        <w:rPr>
          <w:sz w:val="21"/>
        </w:rPr>
        <w:t>请问您有什么事需要帮助吗？</w:t>
      </w:r>
    </w:p>
    <w:p>
      <w:pPr>
        <w:ind w:firstLine="420"/>
        <w:jc w:val="both"/>
      </w:pPr>
      <w:r>
        <w:rPr>
          <w:sz w:val="21"/>
        </w:rPr>
        <w:t>我明白了，马上就办。</w:t>
      </w:r>
    </w:p>
    <w:p>
      <w:pPr>
        <w:ind w:firstLine="420"/>
        <w:jc w:val="both"/>
      </w:pPr>
      <w:r>
        <w:rPr>
          <w:sz w:val="21"/>
        </w:rPr>
        <w:t>请您稍等一会儿，马上就来。</w:t>
      </w:r>
    </w:p>
    <w:p>
      <w:pPr>
        <w:ind w:firstLine="420"/>
        <w:jc w:val="both"/>
      </w:pPr>
      <w:r>
        <w:rPr>
          <w:sz w:val="21"/>
        </w:rPr>
        <w:t>请收好您的东西。</w:t>
      </w:r>
    </w:p>
    <w:p>
      <w:pPr>
        <w:ind w:firstLine="420"/>
        <w:jc w:val="both"/>
      </w:pPr>
      <w:r>
        <w:rPr>
          <w:sz w:val="21"/>
        </w:rPr>
        <w:t>对不起！请您让一下。</w:t>
      </w:r>
    </w:p>
    <w:p>
      <w:pPr>
        <w:ind w:firstLine="420"/>
        <w:jc w:val="both"/>
      </w:pPr>
      <w:r>
        <w:rPr>
          <w:sz w:val="21"/>
        </w:rPr>
        <w:t>对不起！让您久等了。</w:t>
      </w:r>
    </w:p>
    <w:p>
      <w:pPr>
        <w:ind w:firstLine="420"/>
        <w:jc w:val="both"/>
      </w:pPr>
      <w:r>
        <w:rPr>
          <w:sz w:val="21"/>
        </w:rPr>
        <w:t>给您添麻烦了，实在对不起！</w:t>
      </w:r>
    </w:p>
    <w:p>
      <w:pPr>
        <w:ind w:firstLine="420"/>
        <w:jc w:val="both"/>
      </w:pPr>
      <w:r>
        <w:rPr>
          <w:sz w:val="21"/>
        </w:rPr>
        <w:t>感谢您提的宝贵意见。</w:t>
      </w:r>
    </w:p>
    <w:p>
      <w:pPr>
        <w:ind w:firstLine="420"/>
        <w:jc w:val="both"/>
      </w:pPr>
      <w:r>
        <w:rPr>
          <w:sz w:val="21"/>
        </w:rPr>
        <w:t>感谢您提醒我们注意。</w:t>
      </w:r>
    </w:p>
    <w:p>
      <w:pPr>
        <w:ind w:firstLine="420"/>
        <w:jc w:val="both"/>
      </w:pPr>
      <w:r>
        <w:rPr>
          <w:sz w:val="21"/>
        </w:rPr>
        <w:t>慢走，走好。</w:t>
      </w:r>
    </w:p>
    <w:p>
      <w:pPr>
        <w:ind w:firstLine="420"/>
        <w:jc w:val="both"/>
      </w:pPr>
      <w:r>
        <w:rPr>
          <w:sz w:val="21"/>
        </w:rPr>
        <w:t>（</w:t>
      </w:r>
      <w:r>
        <w:rPr>
          <w:sz w:val="21"/>
        </w:rPr>
        <w:t>三</w:t>
      </w:r>
      <w:r>
        <w:rPr>
          <w:sz w:val="21"/>
        </w:rPr>
        <w:t>）工作态度</w:t>
      </w:r>
    </w:p>
    <w:p>
      <w:pPr>
        <w:ind w:firstLine="420"/>
        <w:jc w:val="both"/>
      </w:pPr>
      <w:r>
        <w:rPr>
          <w:sz w:val="21"/>
        </w:rPr>
        <w:t>1、</w:t>
      </w:r>
      <w:r>
        <w:rPr>
          <w:sz w:val="21"/>
        </w:rPr>
        <w:t>服从</w:t>
      </w:r>
      <w:r>
        <w:rPr>
          <w:sz w:val="21"/>
        </w:rPr>
        <w:t>医院、科室</w:t>
      </w:r>
      <w:r>
        <w:rPr>
          <w:sz w:val="21"/>
        </w:rPr>
        <w:t>安排及工作调配。</w:t>
      </w:r>
    </w:p>
    <w:p>
      <w:pPr>
        <w:ind w:firstLine="420"/>
        <w:jc w:val="both"/>
      </w:pPr>
      <w:r>
        <w:rPr>
          <w:sz w:val="21"/>
        </w:rPr>
        <w:t>2、</w:t>
      </w:r>
      <w:r>
        <w:rPr>
          <w:sz w:val="21"/>
        </w:rPr>
        <w:t>提供高效率的服务，尽职尽责，务求达到及时圆满的效果。</w:t>
      </w:r>
    </w:p>
    <w:p>
      <w:pPr>
        <w:ind w:firstLine="420"/>
        <w:jc w:val="both"/>
      </w:pPr>
      <w:r>
        <w:rPr>
          <w:sz w:val="21"/>
        </w:rPr>
        <w:t>3、</w:t>
      </w:r>
      <w:r>
        <w:rPr>
          <w:sz w:val="21"/>
        </w:rPr>
        <w:t>无论是常规服务还是其它工作，都应尽力而为，以求圆满的效果和良好的服务印象。</w:t>
      </w:r>
    </w:p>
    <w:p>
      <w:pPr>
        <w:ind w:firstLine="420"/>
        <w:jc w:val="both"/>
      </w:pPr>
      <w:r>
        <w:rPr>
          <w:sz w:val="21"/>
        </w:rPr>
        <w:t>4、</w:t>
      </w:r>
      <w:r>
        <w:rPr>
          <w:sz w:val="21"/>
        </w:rPr>
        <w:t>各部门之间、员工之间要互相配合，同心协力地解决困难。</w:t>
      </w:r>
    </w:p>
    <w:p>
      <w:pPr>
        <w:ind w:firstLine="420"/>
        <w:jc w:val="both"/>
      </w:pPr>
      <w:r>
        <w:rPr>
          <w:sz w:val="21"/>
        </w:rPr>
        <w:t>5、</w:t>
      </w:r>
      <w:r>
        <w:rPr>
          <w:sz w:val="21"/>
        </w:rPr>
        <w:t>忠诚老实是员工必须具备的品德，有事必报，有错必改，不得提供假情况，不得过分奉承。</w:t>
      </w:r>
    </w:p>
    <w:p>
      <w:pPr>
        <w:ind w:firstLine="420"/>
        <w:jc w:val="both"/>
      </w:pPr>
      <w:r>
        <w:rPr>
          <w:sz w:val="21"/>
        </w:rPr>
        <w:t>（</w:t>
      </w:r>
      <w:r>
        <w:rPr>
          <w:sz w:val="21"/>
        </w:rPr>
        <w:t>四</w:t>
      </w:r>
      <w:r>
        <w:rPr>
          <w:sz w:val="21"/>
        </w:rPr>
        <w:t>）服务态度</w:t>
      </w:r>
    </w:p>
    <w:p>
      <w:pPr>
        <w:ind w:firstLine="420"/>
        <w:jc w:val="both"/>
      </w:pPr>
      <w:r>
        <w:rPr>
          <w:sz w:val="21"/>
        </w:rPr>
        <w:t>1、</w:t>
      </w:r>
      <w:r>
        <w:rPr>
          <w:sz w:val="21"/>
        </w:rPr>
        <w:t>任何时候，员工对医护人员和患者均应使用礼貌用语，</w:t>
      </w:r>
      <w:r>
        <w:rPr>
          <w:sz w:val="21"/>
        </w:rPr>
        <w:t>“请”字当头，“谢”字不离口。</w:t>
      </w:r>
    </w:p>
    <w:p>
      <w:pPr>
        <w:ind w:firstLine="420"/>
        <w:jc w:val="both"/>
      </w:pPr>
      <w:r>
        <w:rPr>
          <w:sz w:val="21"/>
        </w:rPr>
        <w:t>2、</w:t>
      </w:r>
      <w:r>
        <w:rPr>
          <w:sz w:val="21"/>
        </w:rPr>
        <w:t>乐观待人、微笑待客。</w:t>
      </w:r>
    </w:p>
    <w:p>
      <w:pPr>
        <w:ind w:firstLine="420"/>
        <w:jc w:val="both"/>
      </w:pPr>
      <w:r>
        <w:rPr>
          <w:sz w:val="21"/>
        </w:rPr>
        <w:t>3、对于工作人员和病人的投诉，应热情接待，认真、耐心地聆听意见，做好记录，在不违反规定的前提下及时处理，并向对方致谢或致歉。</w:t>
      </w:r>
    </w:p>
    <w:p>
      <w:pPr>
        <w:ind w:firstLine="420"/>
        <w:jc w:val="both"/>
      </w:pPr>
      <w:r>
        <w:rPr>
          <w:sz w:val="21"/>
        </w:rPr>
        <w:t>（五）仪容仪表</w:t>
      </w:r>
    </w:p>
    <w:p>
      <w:pPr>
        <w:ind w:firstLine="420"/>
        <w:jc w:val="both"/>
      </w:pPr>
      <w:r>
        <w:rPr>
          <w:sz w:val="21"/>
        </w:rPr>
        <w:t>1、员工需保持衣冠整洁，统一着装，并将工作卡端正地佩戴在左胸前。</w:t>
      </w:r>
    </w:p>
    <w:p>
      <w:pPr>
        <w:ind w:firstLine="420"/>
        <w:jc w:val="both"/>
      </w:pPr>
      <w:r>
        <w:rPr>
          <w:sz w:val="21"/>
        </w:rPr>
        <w:t>2、在工作场所不得穿短裤、背心、拖鞋。</w:t>
      </w:r>
    </w:p>
    <w:p>
      <w:pPr>
        <w:ind w:firstLine="420"/>
        <w:jc w:val="both"/>
      </w:pPr>
      <w:r>
        <w:rPr>
          <w:sz w:val="21"/>
        </w:rPr>
        <w:t>3、皮鞋要保持干净、不准钉响底。</w:t>
      </w:r>
    </w:p>
    <w:p>
      <w:pPr>
        <w:ind w:firstLine="420"/>
        <w:jc w:val="both"/>
      </w:pPr>
      <w:r>
        <w:rPr>
          <w:sz w:val="21"/>
        </w:rPr>
        <w:t>4、男员工应每天修剪胡须，发不盖耳遮领，不得剃光头：女员工头发修理整齐，不做怪异发型。</w:t>
      </w:r>
    </w:p>
    <w:p>
      <w:pPr>
        <w:ind w:firstLine="420"/>
        <w:jc w:val="both"/>
      </w:pPr>
      <w:r>
        <w:rPr>
          <w:sz w:val="21"/>
        </w:rPr>
        <w:t>5、保持口腔清洁，上班前不吃异味食物。</w:t>
      </w:r>
    </w:p>
    <w:p>
      <w:pPr>
        <w:ind w:firstLine="420"/>
        <w:jc w:val="both"/>
      </w:pPr>
      <w:r>
        <w:rPr>
          <w:sz w:val="21"/>
        </w:rPr>
        <w:t>6、注意自身清洁，注意身体不能有明显异味。</w:t>
      </w:r>
    </w:p>
    <w:p>
      <w:pPr>
        <w:ind w:firstLine="420"/>
        <w:jc w:val="both"/>
      </w:pPr>
      <w:r>
        <w:rPr>
          <w:sz w:val="21"/>
        </w:rPr>
        <w:t>（六）举止行为</w:t>
      </w:r>
    </w:p>
    <w:p>
      <w:pPr>
        <w:ind w:firstLine="420"/>
        <w:jc w:val="both"/>
      </w:pPr>
      <w:r>
        <w:rPr>
          <w:sz w:val="21"/>
        </w:rPr>
        <w:t>1、员工待人应彬彬有礼，举止应大方得体，与人交谈双眼应平视对方，不要左顾右盼。</w:t>
      </w:r>
    </w:p>
    <w:p>
      <w:pPr>
        <w:ind w:firstLine="420"/>
        <w:jc w:val="both"/>
      </w:pPr>
      <w:r>
        <w:rPr>
          <w:sz w:val="21"/>
        </w:rPr>
        <w:t>2、遇到上级领导或有客人来访，员工应小心避开。</w:t>
      </w:r>
    </w:p>
    <w:p>
      <w:pPr>
        <w:ind w:firstLine="420"/>
        <w:jc w:val="both"/>
      </w:pPr>
      <w:r>
        <w:rPr>
          <w:sz w:val="21"/>
        </w:rPr>
        <w:t>3、上班期间不做与工作无关的事情。</w:t>
      </w:r>
    </w:p>
    <w:p>
      <w:pPr>
        <w:ind w:firstLine="420"/>
        <w:jc w:val="both"/>
      </w:pPr>
      <w:r>
        <w:rPr>
          <w:sz w:val="21"/>
        </w:rPr>
        <w:t>4、注意走路和站立姿势，在楼道内行走脚步要轻，无特殊情况不得奔跑。</w:t>
      </w:r>
    </w:p>
    <w:p>
      <w:pPr>
        <w:ind w:firstLine="420"/>
        <w:jc w:val="both"/>
      </w:pPr>
      <w:r>
        <w:rPr>
          <w:sz w:val="21"/>
        </w:rPr>
        <w:t>5、从室外进入可能有人的室内之前，应先在门外轻敲门三下，征得同意后方可入内；若进入时门是关的，出来时应将门轻轻带上。</w:t>
      </w:r>
    </w:p>
    <w:p>
      <w:pPr>
        <w:ind w:firstLine="420"/>
        <w:jc w:val="both"/>
      </w:pPr>
      <w:r>
        <w:rPr>
          <w:sz w:val="21"/>
        </w:rPr>
        <w:t>6、进入室内或电梯时，应主动上前一步先拉开门或按住电梯按钮，请同行先行。</w:t>
      </w:r>
    </w:p>
    <w:p>
      <w:pPr>
        <w:ind w:firstLine="420"/>
        <w:jc w:val="both"/>
      </w:pPr>
      <w:r>
        <w:rPr>
          <w:sz w:val="21"/>
        </w:rPr>
        <w:t xml:space="preserve">7、对医护人员或病人提出的询问、疑难、要求、意见，要耐心倾听，在不违背医院制度的原则下，有问必答并做到回答准确。     </w:t>
      </w:r>
    </w:p>
    <w:p>
      <w:pPr>
        <w:ind w:firstLine="420"/>
        <w:jc w:val="both"/>
      </w:pPr>
      <w:r>
        <w:rPr>
          <w:sz w:val="21"/>
        </w:rPr>
        <w:t>（</w:t>
      </w:r>
      <w:r>
        <w:rPr>
          <w:sz w:val="21"/>
        </w:rPr>
        <w:t>七</w:t>
      </w:r>
      <w:r>
        <w:rPr>
          <w:sz w:val="21"/>
        </w:rPr>
        <w:t>）</w:t>
      </w:r>
      <w:r>
        <w:rPr>
          <w:sz w:val="21"/>
        </w:rPr>
        <w:t>其他要求</w:t>
      </w:r>
    </w:p>
    <w:p>
      <w:pPr>
        <w:ind w:firstLine="420"/>
        <w:jc w:val="both"/>
      </w:pPr>
      <w:r>
        <w:rPr>
          <w:sz w:val="21"/>
        </w:rPr>
        <w:t>1、投标人须承担薪酬、福利、保险、服装、通信工具、社保、医保、住宿、劳保用品、日常防护用品等支出。</w:t>
      </w:r>
    </w:p>
    <w:p>
      <w:pPr>
        <w:ind w:firstLine="420"/>
        <w:jc w:val="both"/>
      </w:pPr>
      <w:r>
        <w:rPr>
          <w:sz w:val="21"/>
        </w:rPr>
        <w:t>2、★运送员要求男性55岁以下，女性53岁以下，能识字、写字，会使用普通话交流。急诊科、ICU、神经内科病区、骨科病区等部门运</w:t>
      </w:r>
      <w:r>
        <w:rPr>
          <w:sz w:val="21"/>
        </w:rPr>
        <w:t>送员原则上要求具有初中及以上文化水平。所有运送员均须配备智能手机并掌握使用方法，能自行扫码显示健康码、行程码，进行健康申报等。</w:t>
      </w:r>
      <w:r>
        <w:rPr>
          <w:sz w:val="21"/>
        </w:rPr>
        <w:t>运送员需身体健康，无传染性疾病，上岗前需持有有效期内的健康证（体检项目须包含</w:t>
      </w:r>
      <w:r>
        <w:rPr>
          <w:sz w:val="21"/>
        </w:rPr>
        <w:t>“感染四项”），经新冠病毒核酸检测阴性（包括试工人员）并经我院疫情防控岗前培训、考核合格才能上岗。健康体检费用、新冠病毒核酸检测费用由投标人自行承担。</w:t>
      </w:r>
    </w:p>
    <w:p>
      <w:pPr>
        <w:ind w:firstLine="420"/>
        <w:jc w:val="both"/>
      </w:pPr>
      <w:r>
        <w:rPr>
          <w:sz w:val="21"/>
        </w:rPr>
        <w:t>3、遵纪守法，须无条件遵守医院各项规定，尤其是</w:t>
      </w:r>
      <w:r>
        <w:rPr>
          <w:sz w:val="21"/>
        </w:rPr>
        <w:t>关于疫情防控及安全生产的有关规定。</w:t>
      </w:r>
    </w:p>
    <w:p>
      <w:pPr>
        <w:ind w:firstLine="420"/>
        <w:jc w:val="both"/>
      </w:pPr>
      <w:r>
        <w:rPr>
          <w:sz w:val="21"/>
        </w:rPr>
        <w:t>4、如运送员在运送病人途中造成患者损伤，投标人须承担相应责任并予以赔偿；如运送员在运送医院标本等货物途中造成院方损失，投标人须承担相应责任并予以赔偿。</w:t>
      </w:r>
    </w:p>
    <w:p>
      <w:pPr>
        <w:ind w:firstLine="420"/>
        <w:jc w:val="both"/>
      </w:pPr>
      <w:r>
        <w:rPr>
          <w:sz w:val="21"/>
        </w:rPr>
        <w:t>5、须配合院方做好各项迎检及突发紧急事件处置工作。</w:t>
      </w:r>
    </w:p>
    <w:p>
      <w:pPr>
        <w:ind w:firstLine="420"/>
        <w:jc w:val="both"/>
      </w:pPr>
      <w:r>
        <w:rPr>
          <w:sz w:val="21"/>
        </w:rPr>
        <w:t>6、★须按照《中山市坦洲人民医院运送岗位人员配置需求表》配置足够数量且符合年龄、文化水平、使用智能手机及健康要求的运送员，不能同时满足上述条件的运送员视为缺人，从投标人执行合同之日起，每缺1人每天扣除服务费307元，当月执行。</w:t>
      </w:r>
    </w:p>
    <w:p>
      <w:pPr>
        <w:ind w:firstLine="420"/>
        <w:jc w:val="both"/>
      </w:pPr>
      <w:r>
        <w:rPr>
          <w:b/>
          <w:sz w:val="21"/>
        </w:rPr>
        <w:t>五、考核标准</w:t>
      </w:r>
    </w:p>
    <w:p>
      <w:pPr>
        <w:ind w:firstLine="420"/>
        <w:jc w:val="both"/>
      </w:pPr>
      <w:r>
        <w:rPr>
          <w:sz w:val="21"/>
        </w:rPr>
        <w:t>1、</w:t>
      </w:r>
      <w:r>
        <w:rPr>
          <w:sz w:val="21"/>
        </w:rPr>
        <w:t>详见《中山市坦洲人民医院急诊运送服务质量绩效考核表》</w:t>
      </w:r>
    </w:p>
    <w:p>
      <w:pPr>
        <w:ind w:firstLine="425"/>
        <w:jc w:val="both"/>
      </w:pPr>
      <w:r>
        <w:rPr>
          <w:sz w:val="21"/>
        </w:rPr>
        <w:t xml:space="preserve">       </w:t>
      </w:r>
      <w:r>
        <w:rPr>
          <w:sz w:val="21"/>
        </w:rPr>
        <w:t>《中山市坦洲人民医院住院部运送服务质量绩效考核表》</w:t>
      </w:r>
    </w:p>
    <w:p>
      <w:pPr>
        <w:jc w:val="both"/>
      </w:pPr>
    </w:p>
    <w:p>
      <w:pPr>
        <w:ind w:firstLine="425"/>
        <w:jc w:val="both"/>
      </w:pPr>
    </w:p>
    <w:p>
      <w:r>
        <w:rPr>
          <w:sz w:val="21"/>
        </w:rPr>
        <w:t>中山市</w:t>
      </w:r>
      <w:r>
        <w:rPr>
          <w:sz w:val="21"/>
        </w:rPr>
        <w:t>坦洲</w:t>
      </w:r>
      <w:r>
        <w:rPr>
          <w:sz w:val="21"/>
        </w:rPr>
        <w:t>人民</w:t>
      </w:r>
      <w:r>
        <w:rPr>
          <w:sz w:val="21"/>
        </w:rPr>
        <w:t>医院急诊运送服务质量绩效考核表</w:t>
      </w:r>
    </w:p>
    <w:p>
      <w:pPr>
        <w:ind w:firstLine="425"/>
      </w:pPr>
    </w:p>
    <w:p>
      <w:pPr>
        <w:ind w:firstLine="425"/>
      </w:pPr>
      <w:r>
        <w:rPr>
          <w:sz w:val="21"/>
        </w:rPr>
        <w:t>日期</w:t>
      </w:r>
      <w:r>
        <w:rPr>
          <w:sz w:val="21"/>
        </w:rPr>
        <w:t xml:space="preserve">           </w:t>
      </w:r>
      <w:r>
        <w:rPr>
          <w:sz w:val="21"/>
        </w:rPr>
        <w:t>姓名</w:t>
      </w:r>
      <w:r>
        <w:rPr>
          <w:sz w:val="21"/>
        </w:rPr>
        <w:t xml:space="preserve">         </w:t>
      </w:r>
      <w:r>
        <w:rPr>
          <w:sz w:val="24"/>
        </w:rPr>
        <w:t xml:space="preserve">  </w:t>
      </w:r>
      <w:r>
        <w:rPr>
          <w:sz w:val="21"/>
        </w:rPr>
        <w:t xml:space="preserve"> </w:t>
      </w:r>
      <w:r>
        <w:rPr>
          <w:sz w:val="21"/>
        </w:rPr>
        <w:t>编号</w:t>
      </w:r>
      <w:r>
        <w:rPr>
          <w:sz w:val="21"/>
        </w:rPr>
        <w:t xml:space="preserve">                  </w:t>
      </w:r>
      <w:r>
        <w:rPr>
          <w:sz w:val="21"/>
        </w:rPr>
        <w:t>得分</w:t>
      </w:r>
    </w:p>
    <w:p/>
    <w:tbl>
      <w:tblPr>
        <w:tblW w:w="0" w:type="auto"/>
        <w:tblBorders>
          <w:top w:val="none" w:color="000000" w:sz="4"/>
          <w:left w:val="none" w:color="000000" w:sz="4"/>
          <w:bottom w:val="none" w:color="000000" w:sz="4"/>
          <w:right w:val="none" w:color="000000" w:sz="4"/>
          <w:insideH w:val="none"/>
          <w:insideV w:val="none"/>
        </w:tblBorders>
      </w:tblPr>
      <w:tblGrid>
        <w:gridCol w:w="590"/>
        <w:gridCol w:w="903"/>
        <w:gridCol w:w="4923"/>
        <w:gridCol w:w="469"/>
        <w:gridCol w:w="843"/>
        <w:gridCol w:w="578"/>
      </w:tblGrid>
      <w:tr>
        <w:tc>
          <w:tcPr>
            <w:tcW w:type="dxa" w:w="590"/>
            <w:tcBorders>
              <w:top w:val="single" w:color="000000" w:sz="4"/>
              <w:left w:val="single" w:color="000000" w:sz="4"/>
              <w:bottom w:val="single" w:color="000000" w:sz="4"/>
              <w:right w:val="single" w:color="000000" w:sz="4"/>
            </w:tcBorders>
            <w:vAlign w:val="top"/>
          </w:tcPr>
          <w:p>
            <w:pPr>
              <w:jc w:val="center"/>
            </w:pPr>
            <w:r>
              <w:rPr>
                <w:sz w:val="21"/>
              </w:rPr>
              <w:t>场所</w:t>
            </w:r>
          </w:p>
        </w:tc>
        <w:tc>
          <w:tcPr>
            <w:tcW w:type="dxa" w:w="903"/>
            <w:tcBorders>
              <w:top w:val="single" w:color="000000" w:sz="4"/>
              <w:left w:val="single" w:color="000000" w:sz="4"/>
              <w:bottom w:val="single" w:color="000000" w:sz="4"/>
              <w:right w:val="single" w:color="000000" w:sz="4"/>
            </w:tcBorders>
            <w:vAlign w:val="top"/>
          </w:tcPr>
          <w:p>
            <w:pPr>
              <w:jc w:val="center"/>
            </w:pPr>
            <w:r>
              <w:rPr>
                <w:sz w:val="21"/>
              </w:rPr>
              <w:t>检查内容</w:t>
            </w:r>
          </w:p>
        </w:tc>
        <w:tc>
          <w:tcPr>
            <w:tcW w:type="dxa" w:w="4923"/>
            <w:tcBorders>
              <w:top w:val="single" w:color="000000" w:sz="4"/>
              <w:left w:val="single" w:color="000000" w:sz="4"/>
              <w:bottom w:val="single" w:color="000000" w:sz="4"/>
              <w:right w:val="single" w:color="000000" w:sz="4"/>
            </w:tcBorders>
            <w:vAlign w:val="top"/>
          </w:tcPr>
          <w:p>
            <w:pPr>
              <w:jc w:val="center"/>
            </w:pPr>
            <w:r>
              <w:rPr>
                <w:sz w:val="21"/>
              </w:rPr>
              <w:t>检查标准</w:t>
            </w:r>
          </w:p>
        </w:tc>
        <w:tc>
          <w:tcPr>
            <w:tcW w:type="dxa" w:w="469"/>
            <w:tcBorders>
              <w:top w:val="single" w:color="000000" w:sz="4"/>
              <w:left w:val="single" w:color="000000" w:sz="4"/>
              <w:bottom w:val="single" w:color="000000" w:sz="4"/>
              <w:right w:val="single" w:color="000000" w:sz="4"/>
            </w:tcBorders>
            <w:vAlign w:val="top"/>
          </w:tcPr>
          <w:p>
            <w:pPr>
              <w:jc w:val="center"/>
            </w:pPr>
            <w:r>
              <w:rPr>
                <w:sz w:val="21"/>
              </w:rPr>
              <w:t>分值</w:t>
            </w:r>
          </w:p>
        </w:tc>
        <w:tc>
          <w:tcPr>
            <w:tcW w:type="dxa" w:w="843"/>
            <w:tcBorders>
              <w:top w:val="single" w:color="000000" w:sz="4"/>
              <w:left w:val="single" w:color="000000" w:sz="4"/>
              <w:bottom w:val="single" w:color="000000" w:sz="4"/>
              <w:right w:val="single" w:color="000000" w:sz="4"/>
            </w:tcBorders>
            <w:vAlign w:val="top"/>
          </w:tcPr>
          <w:p>
            <w:pPr>
              <w:jc w:val="center"/>
            </w:pPr>
            <w:r>
              <w:rPr>
                <w:sz w:val="21"/>
              </w:rPr>
              <w:t>末达标</w:t>
            </w:r>
          </w:p>
          <w:p>
            <w:pPr>
              <w:jc w:val="center"/>
            </w:pPr>
            <w:r>
              <w:rPr>
                <w:sz w:val="21"/>
              </w:rPr>
              <w:t>扣分</w:t>
            </w:r>
          </w:p>
        </w:tc>
        <w:tc>
          <w:tcPr>
            <w:tcW w:type="dxa" w:w="578"/>
            <w:tcBorders>
              <w:top w:val="single" w:color="000000" w:sz="4"/>
              <w:left w:val="single" w:color="000000" w:sz="4"/>
              <w:bottom w:val="single" w:color="000000" w:sz="4"/>
              <w:right w:val="single" w:color="000000" w:sz="4"/>
            </w:tcBorders>
            <w:vAlign w:val="top"/>
          </w:tcPr>
          <w:p>
            <w:pPr>
              <w:jc w:val="center"/>
            </w:pPr>
            <w:r>
              <w:rPr>
                <w:sz w:val="21"/>
              </w:rPr>
              <w:t>得分</w:t>
            </w:r>
          </w:p>
        </w:tc>
      </w:tr>
      <w:tr>
        <w:tc>
          <w:tcPr>
            <w:tcW w:type="dxa" w:w="590"/>
            <w:vMerge w:val="restart"/>
            <w:tcBorders>
              <w:top w:val="none" w:color="000000" w:sz="4"/>
              <w:left w:val="single" w:color="000000" w:sz="4"/>
              <w:bottom w:val="single" w:color="000000" w:sz="4"/>
              <w:right w:val="single" w:color="000000" w:sz="4"/>
            </w:tcBorders>
            <w:vAlign w:val="top"/>
          </w:tcPr>
          <w:p>
            <w:r>
              <w:rPr>
                <w:sz w:val="21"/>
              </w:rPr>
              <w:t>工作人员</w:t>
            </w:r>
            <w:r>
              <w:rPr>
                <w:sz w:val="21"/>
              </w:rPr>
              <w:t>20</w:t>
            </w:r>
            <w:r>
              <w:rPr>
                <w:sz w:val="21"/>
              </w:rPr>
              <w:t>分</w:t>
            </w:r>
          </w:p>
        </w:tc>
        <w:tc>
          <w:tcPr>
            <w:tcW w:type="dxa" w:w="903"/>
            <w:tcBorders>
              <w:top w:val="none" w:color="000000" w:sz="4"/>
              <w:left w:val="single" w:color="000000" w:sz="4"/>
              <w:bottom w:val="single" w:color="000000" w:sz="4"/>
              <w:right w:val="single" w:color="000000" w:sz="4"/>
            </w:tcBorders>
            <w:vAlign w:val="top"/>
          </w:tcPr>
          <w:p>
            <w:r>
              <w:rPr>
                <w:sz w:val="21"/>
              </w:rPr>
              <w:t>着装</w:t>
            </w:r>
          </w:p>
        </w:tc>
        <w:tc>
          <w:tcPr>
            <w:tcW w:type="dxa" w:w="4923"/>
            <w:tcBorders>
              <w:top w:val="none" w:color="000000" w:sz="4"/>
              <w:left w:val="single" w:color="000000" w:sz="4"/>
              <w:bottom w:val="single" w:color="000000" w:sz="4"/>
              <w:right w:val="single" w:color="000000" w:sz="4"/>
            </w:tcBorders>
            <w:vAlign w:val="top"/>
          </w:tcPr>
          <w:p>
            <w:r>
              <w:rPr>
                <w:sz w:val="21"/>
              </w:rPr>
              <w:t>统一服装、衣服整洁、身体无明显臭味，戴工作卡上岗</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val="restart"/>
            <w:tcBorders>
              <w:top w:val="none" w:color="000000" w:sz="4"/>
              <w:left w:val="single" w:color="000000" w:sz="4"/>
              <w:bottom w:val="single" w:color="000000" w:sz="4"/>
              <w:right w:val="single" w:color="000000" w:sz="4"/>
            </w:tcBorders>
            <w:vAlign w:val="top"/>
          </w:tcPr>
          <w:p>
            <w:r>
              <w:rPr>
                <w:sz w:val="21"/>
              </w:rPr>
              <w:t>1项不达标扣1分</w:t>
            </w: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tcBorders>
              <w:top w:val="none" w:color="000000" w:sz="4"/>
              <w:left w:val="single" w:color="000000" w:sz="4"/>
              <w:bottom w:val="single" w:color="000000" w:sz="4"/>
              <w:right w:val="single" w:color="000000" w:sz="4"/>
            </w:tcBorders>
            <w:vAlign w:val="top"/>
          </w:tcPr>
          <w:p>
            <w:r>
              <w:rPr>
                <w:sz w:val="21"/>
              </w:rPr>
              <w:t>在岗情况</w:t>
            </w:r>
          </w:p>
        </w:tc>
        <w:tc>
          <w:tcPr>
            <w:tcW w:type="dxa" w:w="4923"/>
            <w:tcBorders>
              <w:top w:val="none" w:color="000000" w:sz="4"/>
              <w:left w:val="single" w:color="000000" w:sz="4"/>
              <w:bottom w:val="single" w:color="000000" w:sz="4"/>
              <w:right w:val="single" w:color="000000" w:sz="4"/>
            </w:tcBorders>
            <w:vAlign w:val="top"/>
          </w:tcPr>
          <w:p>
            <w:r>
              <w:rPr>
                <w:sz w:val="21"/>
              </w:rPr>
              <w:t>在岗，无迟到早退、偷懒闲聊和私自会客情况</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tcBorders>
              <w:top w:val="none" w:color="000000" w:sz="4"/>
              <w:left w:val="single" w:color="000000" w:sz="4"/>
              <w:bottom w:val="single" w:color="000000" w:sz="4"/>
              <w:right w:val="single" w:color="000000" w:sz="4"/>
            </w:tcBorders>
            <w:vAlign w:val="top"/>
          </w:tcPr>
          <w:p>
            <w:r>
              <w:rPr>
                <w:sz w:val="21"/>
              </w:rPr>
              <w:t>工作态度</w:t>
            </w:r>
          </w:p>
        </w:tc>
        <w:tc>
          <w:tcPr>
            <w:tcW w:type="dxa" w:w="4923"/>
            <w:tcBorders>
              <w:top w:val="none" w:color="000000" w:sz="4"/>
              <w:left w:val="single" w:color="000000" w:sz="4"/>
              <w:bottom w:val="single" w:color="000000" w:sz="4"/>
              <w:right w:val="single" w:color="000000" w:sz="4"/>
            </w:tcBorders>
            <w:vAlign w:val="top"/>
          </w:tcPr>
          <w:p>
            <w:r>
              <w:rPr>
                <w:sz w:val="22"/>
              </w:rPr>
              <w:t>服从工作安排，文明有礼</w:t>
            </w:r>
            <w:r>
              <w:rPr>
                <w:sz w:val="22"/>
              </w:rPr>
              <w:t>，</w:t>
            </w:r>
            <w:r>
              <w:rPr>
                <w:sz w:val="21"/>
              </w:rPr>
              <w:t>平稳担抬、推送病人，不得与病人交谈与病情有关的话题，保护患者隐私，对病人的提问语气温和，不得动作及语气生硬</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590"/>
            <w:vMerge w:val="restart"/>
            <w:tcBorders>
              <w:top w:val="none" w:color="000000" w:sz="4"/>
              <w:left w:val="single" w:color="000000" w:sz="4"/>
              <w:bottom w:val="single" w:color="000000" w:sz="4"/>
              <w:right w:val="single" w:color="000000" w:sz="4"/>
            </w:tcBorders>
            <w:vAlign w:val="top"/>
          </w:tcPr>
          <w:p>
            <w:r>
              <w:rPr>
                <w:sz w:val="21"/>
              </w:rPr>
              <w:t>院前运送</w:t>
            </w:r>
            <w:r>
              <w:rPr>
                <w:sz w:val="21"/>
              </w:rPr>
              <w:t>20</w:t>
            </w:r>
            <w:r>
              <w:rPr>
                <w:sz w:val="21"/>
              </w:rPr>
              <w:t>分</w:t>
            </w:r>
          </w:p>
        </w:tc>
        <w:tc>
          <w:tcPr>
            <w:tcW w:type="dxa" w:w="903"/>
            <w:vMerge w:val="restart"/>
            <w:tcBorders>
              <w:top w:val="none" w:color="000000" w:sz="4"/>
              <w:left w:val="single" w:color="000000" w:sz="4"/>
              <w:bottom w:val="single" w:color="000000" w:sz="4"/>
              <w:right w:val="single" w:color="000000" w:sz="4"/>
            </w:tcBorders>
            <w:vAlign w:val="top"/>
          </w:tcPr>
          <w:p>
            <w:r>
              <w:rPr>
                <w:sz w:val="21"/>
              </w:rPr>
              <w:t>救护车的清洁及运送工具的管理</w:t>
            </w:r>
          </w:p>
        </w:tc>
        <w:tc>
          <w:tcPr>
            <w:tcW w:type="dxa" w:w="4923"/>
            <w:tcBorders>
              <w:top w:val="none" w:color="000000" w:sz="4"/>
              <w:left w:val="single" w:color="000000" w:sz="4"/>
              <w:bottom w:val="single" w:color="000000" w:sz="4"/>
              <w:right w:val="single" w:color="000000" w:sz="4"/>
            </w:tcBorders>
            <w:vAlign w:val="top"/>
          </w:tcPr>
          <w:p>
            <w:r>
              <w:rPr>
                <w:sz w:val="21"/>
              </w:rPr>
              <w:t>1、</w:t>
            </w:r>
            <w:r>
              <w:rPr>
                <w:sz w:val="21"/>
              </w:rPr>
              <w:t>救护车箱内整洁，地面无垃圾、无积水；车箱内壁、地面无污渍、平车床单清洁，车身无血迹。</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43"/>
            <w:vMerge w:val="restart"/>
            <w:tcBorders>
              <w:top w:val="none" w:color="000000" w:sz="4"/>
              <w:left w:val="single" w:color="000000" w:sz="4"/>
              <w:bottom w:val="single" w:color="000000" w:sz="4"/>
              <w:right w:val="single" w:color="000000" w:sz="4"/>
            </w:tcBorders>
            <w:vAlign w:val="top"/>
          </w:tcPr>
          <w:p>
            <w:r>
              <w:rPr>
                <w:sz w:val="21"/>
              </w:rPr>
              <w:t>1项不达标扣1分</w:t>
            </w: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r>
              <w:rPr>
                <w:sz w:val="21"/>
              </w:rPr>
              <w:t>2、</w:t>
            </w:r>
            <w:r>
              <w:rPr>
                <w:sz w:val="21"/>
              </w:rPr>
              <w:t>接班前做好救护车内运送工具的交接，包抱平车的性能，安全性</w:t>
            </w:r>
            <w:r>
              <w:rPr>
                <w:sz w:val="21"/>
              </w:rPr>
              <w:t>。</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r>
              <w:rPr>
                <w:sz w:val="21"/>
              </w:rPr>
              <w:t>3、根据病人病情以及医生护士指引，及时为病人提供担架、平车、轮椅及被子，胶袋等，必要时协助医护人员护送急救用物。</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590"/>
            <w:vMerge w:val="restart"/>
            <w:tcBorders>
              <w:top w:val="none" w:color="000000" w:sz="4"/>
              <w:left w:val="single" w:color="000000" w:sz="4"/>
              <w:bottom w:val="single" w:color="000000" w:sz="4"/>
              <w:right w:val="single" w:color="000000" w:sz="4"/>
            </w:tcBorders>
            <w:vAlign w:val="top"/>
          </w:tcPr>
          <w:p>
            <w:r>
              <w:rPr>
                <w:sz w:val="21"/>
              </w:rPr>
              <w:t>院内运送</w:t>
            </w:r>
            <w:r>
              <w:rPr>
                <w:sz w:val="21"/>
              </w:rPr>
              <w:t>60分</w:t>
            </w:r>
          </w:p>
        </w:tc>
        <w:tc>
          <w:tcPr>
            <w:tcW w:type="dxa" w:w="903"/>
            <w:tcBorders>
              <w:top w:val="none" w:color="000000" w:sz="4"/>
              <w:left w:val="single" w:color="000000" w:sz="4"/>
              <w:bottom w:val="single" w:color="000000" w:sz="4"/>
              <w:right w:val="single" w:color="000000" w:sz="4"/>
            </w:tcBorders>
            <w:vAlign w:val="top"/>
          </w:tcPr>
          <w:p>
            <w:r>
              <w:rPr>
                <w:sz w:val="21"/>
              </w:rPr>
              <w:t>工作区域</w:t>
            </w:r>
          </w:p>
        </w:tc>
        <w:tc>
          <w:tcPr>
            <w:tcW w:type="dxa" w:w="4923"/>
            <w:tcBorders>
              <w:top w:val="none" w:color="000000" w:sz="4"/>
              <w:left w:val="single" w:color="000000" w:sz="4"/>
              <w:bottom w:val="single" w:color="000000" w:sz="4"/>
              <w:right w:val="single" w:color="000000" w:sz="4"/>
            </w:tcBorders>
            <w:vAlign w:val="top"/>
          </w:tcPr>
          <w:p>
            <w:r>
              <w:rPr>
                <w:sz w:val="21"/>
              </w:rPr>
              <w:t>在急诊候诊区等候工作任务，如遇特殊情况告知当班护士去向。能应用礼貌用语询问病人</w:t>
            </w:r>
            <w:r>
              <w:rPr>
                <w:sz w:val="21"/>
              </w:rPr>
              <w:t>。与医护之间友善相处（</w:t>
            </w:r>
            <w:r>
              <w:rPr>
                <w:sz w:val="21"/>
              </w:rPr>
              <w:t>“您好”“早上好”“晚上好”“先生</w:t>
            </w:r>
            <w:r>
              <w:rPr>
                <w:sz w:val="21"/>
              </w:rPr>
              <w:t>/女士好”</w:t>
            </w:r>
            <w:r>
              <w:rPr>
                <w:sz w:val="21"/>
              </w:rPr>
              <w:t>）</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tcBorders>
              <w:top w:val="none" w:color="000000" w:sz="4"/>
              <w:left w:val="single" w:color="000000" w:sz="4"/>
              <w:bottom w:val="single" w:color="000000" w:sz="4"/>
              <w:right w:val="single" w:color="000000" w:sz="4"/>
            </w:tcBorders>
            <w:vAlign w:val="top"/>
          </w:tcPr>
          <w:p>
            <w:r>
              <w:rPr>
                <w:sz w:val="21"/>
              </w:rPr>
              <w:t>1项不达标扣1分</w:t>
            </w: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val="restart"/>
            <w:tcBorders>
              <w:top w:val="none" w:color="000000" w:sz="4"/>
              <w:left w:val="single" w:color="000000" w:sz="4"/>
              <w:bottom w:val="single" w:color="000000" w:sz="4"/>
              <w:right w:val="single" w:color="000000" w:sz="4"/>
            </w:tcBorders>
            <w:vAlign w:val="top"/>
          </w:tcPr>
          <w:p>
            <w:r>
              <w:rPr>
                <w:sz w:val="21"/>
              </w:rPr>
              <w:t>岗位考评</w:t>
            </w:r>
          </w:p>
        </w:tc>
        <w:tc>
          <w:tcPr>
            <w:tcW w:type="dxa" w:w="4923"/>
            <w:tcBorders>
              <w:top w:val="none" w:color="000000" w:sz="4"/>
              <w:left w:val="single" w:color="000000" w:sz="4"/>
              <w:bottom w:val="single" w:color="000000" w:sz="4"/>
              <w:right w:val="single" w:color="000000" w:sz="4"/>
            </w:tcBorders>
            <w:vAlign w:val="top"/>
          </w:tcPr>
          <w:p>
            <w:r>
              <w:rPr>
                <w:sz w:val="21"/>
              </w:rPr>
              <w:t>1、</w:t>
            </w:r>
            <w:r>
              <w:rPr>
                <w:sz w:val="21"/>
              </w:rPr>
              <w:t>对于来诊患者，</w:t>
            </w:r>
            <w:r>
              <w:rPr>
                <w:sz w:val="21"/>
              </w:rPr>
              <w:t>第一时间到患者身边，根据实际情况给予提供平车、轮椅等（</w:t>
            </w:r>
            <w:r>
              <w:rPr>
                <w:sz w:val="21"/>
              </w:rPr>
              <w:t>“请坐下</w:t>
            </w:r>
            <w:r>
              <w:rPr>
                <w:sz w:val="21"/>
              </w:rPr>
              <w:t>/</w:t>
            </w:r>
            <w:r>
              <w:rPr>
                <w:sz w:val="21"/>
              </w:rPr>
              <w:t>躺在平车上，您感觉哪里不舒服？</w:t>
            </w:r>
            <w:r>
              <w:rPr>
                <w:sz w:val="21"/>
              </w:rPr>
              <w:t>”）并予以护送，对于行动不便的患者进行搀扶，坐轮椅或平车前先固定车子，并对于有需要者及时提供被服。必要时协助患者大小便。</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43"/>
            <w:vMerge w:val="restart"/>
            <w:tcBorders>
              <w:top w:val="none" w:color="000000" w:sz="4"/>
              <w:left w:val="single" w:color="000000" w:sz="4"/>
              <w:bottom w:val="single" w:color="000000" w:sz="4"/>
              <w:right w:val="single" w:color="000000" w:sz="4"/>
            </w:tcBorders>
            <w:vAlign w:val="top"/>
          </w:tcPr>
          <w:p>
            <w:r>
              <w:rPr>
                <w:sz w:val="21"/>
              </w:rPr>
              <w:t>1项不达标扣1分</w:t>
            </w: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r>
              <w:rPr>
                <w:sz w:val="21"/>
              </w:rPr>
              <w:t>2、</w:t>
            </w:r>
            <w:r>
              <w:rPr>
                <w:sz w:val="21"/>
              </w:rPr>
              <w:t>与医护之间相互配合，如医护呼叫，第一时间应答，不得以正在做事为由不理睬。应急病人所急，优先配合医护人员处理急症病人。</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r>
              <w:rPr>
                <w:sz w:val="21"/>
              </w:rPr>
              <w:t>3、</w:t>
            </w:r>
            <w:r>
              <w:rPr>
                <w:sz w:val="21"/>
              </w:rPr>
              <w:t>及时为急诊患者提供被服，协助护士清理患者身上呕吐物、血迹及其他污物。将患者衣物等装袋并交于家属。</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tcBorders>
              <w:top w:val="none" w:color="000000" w:sz="4"/>
              <w:left w:val="single" w:color="000000" w:sz="4"/>
              <w:bottom w:val="single" w:color="000000" w:sz="4"/>
              <w:right w:val="single" w:color="000000" w:sz="4"/>
            </w:tcBorders>
            <w:vAlign w:val="top"/>
          </w:tcPr>
          <w:p>
            <w:r>
              <w:rPr>
                <w:sz w:val="21"/>
              </w:rPr>
              <w:t>1项不达标扣1分</w:t>
            </w:r>
          </w:p>
        </w:tc>
        <w:tc>
          <w:tcPr>
            <w:tcW w:type="dxa" w:w="578"/>
            <w:tcBorders>
              <w:top w:val="none" w:color="000000" w:sz="4"/>
              <w:left w:val="single" w:color="000000" w:sz="4"/>
              <w:bottom w:val="single" w:color="000000" w:sz="4"/>
              <w:right w:val="single" w:color="000000" w:sz="4"/>
            </w:tcBorders>
            <w:vAlign w:val="top"/>
          </w:tcPr>
          <w:p/>
          <w:p/>
        </w:tc>
      </w:tr>
      <w:tr>
        <w:tc>
          <w:tcPr>
            <w:tcW w:type="dxa" w:w="590"/>
            <w:vMerge/>
            <w:tcBorders>
              <w:top w:val="none" w:color="000000" w:sz="4"/>
              <w:left w:val="single" w:color="000000" w:sz="4"/>
              <w:bottom w:val="single" w:color="000000" w:sz="4"/>
              <w:right w:val="single" w:color="000000" w:sz="4"/>
            </w:tcBorders>
          </w:tcPr>
          <w:p/>
        </w:tc>
        <w:tc>
          <w:tcPr>
            <w:tcW w:type="dxa" w:w="903"/>
            <w:vMerge w:val="restart"/>
            <w:tcBorders>
              <w:top w:val="none" w:color="000000" w:sz="4"/>
              <w:left w:val="single" w:color="000000" w:sz="4"/>
              <w:bottom w:val="single" w:color="000000" w:sz="4"/>
              <w:right w:val="single" w:color="000000" w:sz="4"/>
            </w:tcBorders>
            <w:vAlign w:val="top"/>
          </w:tcPr>
          <w:p>
            <w:r>
              <w:rPr>
                <w:sz w:val="21"/>
              </w:rPr>
              <w:t>护送配合</w:t>
            </w:r>
          </w:p>
        </w:tc>
        <w:tc>
          <w:tcPr>
            <w:tcW w:type="dxa" w:w="4923"/>
            <w:tcBorders>
              <w:top w:val="none" w:color="000000" w:sz="4"/>
              <w:left w:val="single" w:color="000000" w:sz="4"/>
              <w:bottom w:val="single" w:color="000000" w:sz="4"/>
              <w:right w:val="single" w:color="000000" w:sz="4"/>
            </w:tcBorders>
            <w:vAlign w:val="top"/>
          </w:tcPr>
          <w:p>
            <w:r>
              <w:rPr>
                <w:color w:val="000000"/>
                <w:sz w:val="21"/>
              </w:rPr>
              <w:t>1、</w:t>
            </w:r>
            <w:r>
              <w:rPr>
                <w:sz w:val="21"/>
              </w:rPr>
              <w:t>运送病人时要查对床号、姓名、年龄、检查项目与检查单是否一致，做到准确无误并及时运送病人。</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val="restart"/>
            <w:tcBorders>
              <w:top w:val="none" w:color="000000" w:sz="4"/>
              <w:left w:val="single" w:color="000000" w:sz="4"/>
              <w:bottom w:val="single" w:color="000000" w:sz="4"/>
              <w:right w:val="single" w:color="000000" w:sz="4"/>
            </w:tcBorders>
            <w:vAlign w:val="top"/>
          </w:tcPr>
          <w:p>
            <w:pPr>
              <w:jc w:val="center"/>
            </w:pPr>
            <w:r>
              <w:rPr>
                <w:sz w:val="21"/>
              </w:rPr>
              <w:t>1项不达标扣1分</w:t>
            </w: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r>
              <w:rPr>
                <w:sz w:val="21"/>
              </w:rPr>
              <w:t>2、</w:t>
            </w:r>
            <w:r>
              <w:rPr>
                <w:sz w:val="21"/>
              </w:rPr>
              <w:t>检查运送工具清洁状况和安全性；</w:t>
            </w:r>
            <w:r>
              <w:rPr>
                <w:sz w:val="21"/>
              </w:rPr>
              <w:t>护送前确认患者的病情，询问护士是否不需要医护士陪同，并告知患者现在需去的地方及目的（</w:t>
            </w:r>
            <w:r>
              <w:rPr>
                <w:sz w:val="21"/>
              </w:rPr>
              <w:t>“XX你好，我现在送你去XX”）。</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r>
              <w:rPr>
                <w:sz w:val="21"/>
              </w:rPr>
              <w:t>3、</w:t>
            </w:r>
            <w:r>
              <w:rPr>
                <w:sz w:val="21"/>
              </w:rPr>
              <w:t>每天对平车、轮椅按院感要求进行消毒处理，用专用消毒手帕擦拭，运送传染病区病人后，必须用消毒液喷洒或专用消毒手帕擦洗。</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r>
              <w:rPr>
                <w:sz w:val="21"/>
              </w:rPr>
              <w:t>4、</w:t>
            </w:r>
            <w:r>
              <w:rPr>
                <w:sz w:val="21"/>
              </w:rPr>
              <w:t>搬运过程中，注意安全、舒适，天气寒冷时注意保暧。</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pPr>
              <w:numPr>
                <w:ilvl w:val="0"/>
                <w:numId w:val="1"/>
              </w:numPr>
            </w:pPr>
            <w:r>
              <w:rPr>
                <w:sz w:val="21"/>
              </w:rPr>
              <w:t>操作过程中须严格执行院感防控各项要求，如佩戴一次性手套、口罩，落实手卫生、消毒等。</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p/>
          <w:p/>
        </w:tc>
      </w:tr>
      <w:tr>
        <w:tc>
          <w:tcPr>
            <w:tcW w:type="dxa" w:w="590"/>
            <w:vMerge/>
            <w:tcBorders>
              <w:top w:val="none" w:color="000000" w:sz="4"/>
              <w:left w:val="single" w:color="000000" w:sz="4"/>
              <w:bottom w:val="single" w:color="000000" w:sz="4"/>
              <w:right w:val="single" w:color="000000" w:sz="4"/>
            </w:tcBorders>
          </w:tcPr>
          <w:p/>
        </w:tc>
        <w:tc>
          <w:tcPr>
            <w:tcW w:type="dxa" w:w="903"/>
            <w:vMerge/>
            <w:tcBorders>
              <w:top w:val="none" w:color="000000" w:sz="4"/>
              <w:left w:val="single" w:color="000000" w:sz="4"/>
              <w:bottom w:val="single" w:color="000000" w:sz="4"/>
              <w:right w:val="single" w:color="000000" w:sz="4"/>
            </w:tcBorders>
          </w:tcPr>
          <w:p/>
        </w:tc>
        <w:tc>
          <w:tcPr>
            <w:tcW w:type="dxa" w:w="4923"/>
            <w:tcBorders>
              <w:top w:val="none" w:color="000000" w:sz="4"/>
              <w:left w:val="single" w:color="000000" w:sz="4"/>
              <w:bottom w:val="single" w:color="000000" w:sz="4"/>
              <w:right w:val="single" w:color="000000" w:sz="4"/>
            </w:tcBorders>
            <w:vAlign w:val="top"/>
          </w:tcPr>
          <w:p>
            <w:r>
              <w:rPr>
                <w:sz w:val="22"/>
              </w:rPr>
              <w:t xml:space="preserve"> </w:t>
            </w:r>
            <w:r>
              <w:rPr>
                <w:sz w:val="21"/>
              </w:rPr>
              <w:t>6、</w:t>
            </w:r>
            <w:r>
              <w:rPr>
                <w:sz w:val="21"/>
              </w:rPr>
              <w:t>运送员在运送遗体时，注意遗体隐私防护，尊重逝者尊严；选择隐蔽路线运送，避免引起周围人群恐慌；与医院太平间管理员在登记本上进行交接登记；运送工具严格消毒并送回存放处。</w:t>
            </w:r>
          </w:p>
        </w:tc>
        <w:tc>
          <w:tcPr>
            <w:tcW w:type="dxa" w:w="4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43"/>
            <w:vMerge/>
            <w:tcBorders>
              <w:top w:val="none" w:color="000000" w:sz="4"/>
              <w:left w:val="single" w:color="000000" w:sz="4"/>
              <w:bottom w:val="single" w:color="000000" w:sz="4"/>
              <w:right w:val="single" w:color="000000" w:sz="4"/>
            </w:tcBorders>
          </w:tcPr>
          <w:p/>
        </w:tc>
        <w:tc>
          <w:tcPr>
            <w:tcW w:type="dxa" w:w="578"/>
            <w:tcBorders>
              <w:top w:val="none" w:color="000000" w:sz="4"/>
              <w:left w:val="single" w:color="000000" w:sz="4"/>
              <w:bottom w:val="single" w:color="000000" w:sz="4"/>
              <w:right w:val="single" w:color="000000" w:sz="4"/>
            </w:tcBorders>
            <w:vAlign w:val="top"/>
          </w:tcPr>
          <w:p/>
        </w:tc>
      </w:tr>
      <w:tr>
        <w:tc>
          <w:tcPr>
            <w:tcW w:type="dxa" w:w="1493"/>
            <w:gridSpan w:val="2"/>
            <w:tcBorders>
              <w:top w:val="none" w:color="000000" w:sz="4"/>
              <w:left w:val="single" w:color="000000" w:sz="4"/>
              <w:bottom w:val="single" w:color="000000" w:sz="4"/>
              <w:right w:val="single" w:color="000000" w:sz="4"/>
            </w:tcBorders>
            <w:vAlign w:val="top"/>
          </w:tcPr>
          <w:p>
            <w:pPr>
              <w:jc w:val="center"/>
            </w:pPr>
            <w:r>
              <w:rPr>
                <w:sz w:val="21"/>
              </w:rPr>
              <w:t>投诉、纠纷</w:t>
            </w:r>
          </w:p>
        </w:tc>
        <w:tc>
          <w:tcPr>
            <w:tcW w:type="dxa" w:w="6235"/>
            <w:gridSpan w:val="3"/>
            <w:tcBorders>
              <w:top w:val="none" w:color="000000" w:sz="4"/>
              <w:left w:val="single" w:color="000000" w:sz="4"/>
              <w:bottom w:val="single" w:color="000000" w:sz="4"/>
              <w:right w:val="single" w:color="000000" w:sz="4"/>
            </w:tcBorders>
            <w:vAlign w:val="top"/>
          </w:tcPr>
          <w:p>
            <w:r>
              <w:rPr>
                <w:sz w:val="21"/>
              </w:rPr>
              <w:t>每发生</w:t>
            </w:r>
            <w:r>
              <w:rPr>
                <w:sz w:val="21"/>
              </w:rPr>
              <w:t>1起投诉，属医院工作人员投诉的，扣10分；属病人投诉的，扣20分。</w:t>
            </w:r>
          </w:p>
        </w:tc>
        <w:tc>
          <w:tcPr>
            <w:tcW w:type="dxa" w:w="578"/>
            <w:tcBorders>
              <w:top w:val="none" w:color="000000" w:sz="4"/>
              <w:left w:val="single" w:color="000000" w:sz="4"/>
              <w:bottom w:val="single" w:color="000000" w:sz="4"/>
              <w:right w:val="single" w:color="000000" w:sz="4"/>
            </w:tcBorders>
            <w:vAlign w:val="top"/>
          </w:tcPr>
          <w:p>
            <w:pPr>
              <w:jc w:val="center"/>
            </w:pPr>
          </w:p>
        </w:tc>
      </w:tr>
      <w:tr>
        <w:tc>
          <w:tcPr>
            <w:tcW w:type="dxa" w:w="1493"/>
            <w:gridSpan w:val="2"/>
            <w:vMerge w:val="restart"/>
            <w:tcBorders>
              <w:top w:val="none" w:color="000000" w:sz="4"/>
              <w:left w:val="single" w:color="000000" w:sz="4"/>
              <w:bottom w:val="single" w:color="000000" w:sz="4"/>
              <w:right w:val="single" w:color="000000" w:sz="4"/>
            </w:tcBorders>
            <w:vAlign w:val="top"/>
          </w:tcPr>
          <w:p>
            <w:r>
              <w:rPr>
                <w:sz w:val="21"/>
              </w:rPr>
              <w:t>运送工作评价</w:t>
            </w:r>
          </w:p>
        </w:tc>
        <w:tc>
          <w:tcPr>
            <w:tcW w:type="dxa" w:w="6235"/>
            <w:gridSpan w:val="3"/>
            <w:tcBorders>
              <w:top w:val="none" w:color="000000" w:sz="4"/>
              <w:left w:val="single" w:color="000000" w:sz="4"/>
              <w:bottom w:val="single" w:color="000000" w:sz="4"/>
              <w:right w:val="single" w:color="000000" w:sz="4"/>
            </w:tcBorders>
            <w:vAlign w:val="top"/>
          </w:tcPr>
          <w:p>
            <w:r>
              <w:rPr>
                <w:sz w:val="21"/>
              </w:rPr>
              <w:t>存在问题：</w:t>
            </w:r>
          </w:p>
        </w:tc>
        <w:tc>
          <w:tcPr>
            <w:tcW w:type="dxa" w:w="578"/>
            <w:vMerge w:val="restart"/>
            <w:tcBorders>
              <w:top w:val="none" w:color="000000" w:sz="4"/>
              <w:left w:val="single" w:color="000000" w:sz="4"/>
              <w:bottom w:val="single" w:color="000000" w:sz="4"/>
              <w:right w:val="single" w:color="000000" w:sz="4"/>
            </w:tcBorders>
            <w:vAlign w:val="top"/>
          </w:tcPr>
          <w:p/>
        </w:tc>
      </w:tr>
      <w:tr>
        <w:tc>
          <w:tcPr>
            <w:tcW w:type="dxa" w:w="1493"/>
            <w:gridSpan w:val="2"/>
            <w:vMerge/>
            <w:tcBorders>
              <w:top w:val="none" w:color="000000" w:sz="4"/>
              <w:left w:val="single" w:color="000000" w:sz="4"/>
              <w:bottom w:val="single" w:color="000000" w:sz="4"/>
              <w:right w:val="single" w:color="000000" w:sz="4"/>
            </w:tcBorders>
          </w:tcPr>
          <w:p/>
        </w:tc>
        <w:tc>
          <w:tcPr>
            <w:tcW w:type="dxa" w:w="6235"/>
            <w:gridSpan w:val="3"/>
            <w:tcBorders>
              <w:top w:val="none" w:color="000000" w:sz="4"/>
              <w:left w:val="single" w:color="000000" w:sz="4"/>
              <w:bottom w:val="single" w:color="000000" w:sz="4"/>
              <w:right w:val="single" w:color="000000" w:sz="4"/>
            </w:tcBorders>
            <w:vAlign w:val="top"/>
          </w:tcPr>
          <w:p>
            <w:r>
              <w:rPr>
                <w:sz w:val="21"/>
              </w:rPr>
              <w:t>工作建议：</w:t>
            </w:r>
          </w:p>
        </w:tc>
      </w:tr>
    </w:tbl>
    <w:p>
      <w:pPr>
        <w:jc w:val="both"/>
      </w:pPr>
      <w:r>
        <w:rPr>
          <w:sz w:val="21"/>
        </w:rPr>
        <w:t>中山市坦洲人民医院住院部运送服务质量绩效考核表</w:t>
      </w:r>
    </w:p>
    <w:p/>
    <w:p>
      <w:r>
        <w:rPr>
          <w:sz w:val="21"/>
        </w:rPr>
        <w:t xml:space="preserve">   日期</w:t>
      </w:r>
      <w:r>
        <w:rPr>
          <w:sz w:val="21"/>
        </w:rPr>
        <w:t xml:space="preserve">           </w:t>
      </w:r>
      <w:r>
        <w:rPr>
          <w:sz w:val="21"/>
        </w:rPr>
        <w:t>姓名</w:t>
      </w:r>
      <w:r>
        <w:rPr>
          <w:sz w:val="21"/>
        </w:rPr>
        <w:t xml:space="preserve">         </w:t>
      </w:r>
      <w:r>
        <w:rPr>
          <w:sz w:val="22"/>
        </w:rPr>
        <w:t xml:space="preserve">  </w:t>
      </w:r>
      <w:r>
        <w:rPr>
          <w:sz w:val="21"/>
        </w:rPr>
        <w:t xml:space="preserve"> </w:t>
      </w:r>
      <w:r>
        <w:rPr>
          <w:sz w:val="21"/>
        </w:rPr>
        <w:t>编号</w:t>
      </w:r>
      <w:r>
        <w:rPr>
          <w:sz w:val="21"/>
        </w:rPr>
        <w:t xml:space="preserve">                  </w:t>
      </w:r>
      <w:r>
        <w:rPr>
          <w:sz w:val="21"/>
        </w:rPr>
        <w:t>得分</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599"/>
        <w:gridCol w:w="910"/>
        <w:gridCol w:w="4914"/>
        <w:gridCol w:w="362"/>
        <w:gridCol w:w="948"/>
        <w:gridCol w:w="574"/>
      </w:tblGrid>
      <w:tr>
        <w:tc>
          <w:tcPr>
            <w:tcW w:type="dxa" w:w="599"/>
            <w:tcBorders>
              <w:top w:val="single" w:color="000000" w:sz="8"/>
              <w:left w:val="single" w:color="000000" w:sz="8"/>
              <w:bottom w:val="single" w:color="000000" w:sz="8"/>
              <w:right w:val="single" w:color="000000" w:sz="8"/>
            </w:tcBorders>
            <w:vAlign w:val="top"/>
          </w:tcPr>
          <w:p>
            <w:pPr>
              <w:jc w:val="center"/>
            </w:pPr>
            <w:r>
              <w:rPr>
                <w:sz w:val="21"/>
              </w:rPr>
              <w:t>检查场</w:t>
            </w:r>
            <w:r>
              <w:rPr>
                <w:sz w:val="22"/>
              </w:rPr>
              <w:t xml:space="preserve"> </w:t>
            </w:r>
            <w:r>
              <w:rPr>
                <w:sz w:val="21"/>
              </w:rPr>
              <w:t>所</w:t>
            </w:r>
          </w:p>
        </w:tc>
        <w:tc>
          <w:tcPr>
            <w:tcW w:type="dxa" w:w="910"/>
            <w:tcBorders>
              <w:top w:val="single" w:color="000000" w:sz="8"/>
              <w:left w:val="single" w:color="000000" w:sz="8"/>
              <w:bottom w:val="single" w:color="000000" w:sz="8"/>
              <w:right w:val="single" w:color="000000" w:sz="8"/>
            </w:tcBorders>
            <w:vAlign w:val="top"/>
          </w:tcPr>
          <w:p>
            <w:pPr>
              <w:jc w:val="center"/>
            </w:pPr>
            <w:r>
              <w:rPr>
                <w:sz w:val="21"/>
              </w:rPr>
              <w:t>检查内容</w:t>
            </w:r>
          </w:p>
        </w:tc>
        <w:tc>
          <w:tcPr>
            <w:tcW w:type="dxa" w:w="4914"/>
            <w:tcBorders>
              <w:top w:val="single" w:color="000000" w:sz="8"/>
              <w:left w:val="single" w:color="000000" w:sz="8"/>
              <w:bottom w:val="single" w:color="000000" w:sz="8"/>
              <w:right w:val="single" w:color="000000" w:sz="8"/>
            </w:tcBorders>
            <w:vAlign w:val="top"/>
          </w:tcPr>
          <w:p>
            <w:pPr>
              <w:jc w:val="center"/>
            </w:pPr>
            <w:r>
              <w:rPr>
                <w:sz w:val="21"/>
              </w:rPr>
              <w:t>检查标准</w:t>
            </w:r>
          </w:p>
        </w:tc>
        <w:tc>
          <w:tcPr>
            <w:tcW w:type="dxa" w:w="362"/>
            <w:tcBorders>
              <w:top w:val="single" w:color="000000" w:sz="8"/>
              <w:left w:val="single" w:color="000000" w:sz="8"/>
              <w:bottom w:val="single" w:color="000000" w:sz="8"/>
              <w:right w:val="single" w:color="000000" w:sz="8"/>
            </w:tcBorders>
            <w:vAlign w:val="top"/>
          </w:tcPr>
          <w:p>
            <w:pPr>
              <w:jc w:val="center"/>
            </w:pPr>
            <w:r>
              <w:rPr>
                <w:sz w:val="21"/>
              </w:rPr>
              <w:t>分值</w:t>
            </w:r>
          </w:p>
        </w:tc>
        <w:tc>
          <w:tcPr>
            <w:tcW w:type="dxa" w:w="948"/>
            <w:tcBorders>
              <w:top w:val="single" w:color="000000" w:sz="8"/>
              <w:left w:val="single" w:color="000000" w:sz="8"/>
              <w:bottom w:val="single" w:color="000000" w:sz="8"/>
              <w:right w:val="single" w:color="000000" w:sz="8"/>
            </w:tcBorders>
            <w:vAlign w:val="top"/>
          </w:tcPr>
          <w:p>
            <w:pPr>
              <w:jc w:val="center"/>
            </w:pPr>
            <w:r>
              <w:rPr>
                <w:sz w:val="21"/>
              </w:rPr>
              <w:t>末达标</w:t>
            </w:r>
          </w:p>
          <w:p>
            <w:pPr>
              <w:jc w:val="center"/>
            </w:pPr>
            <w:r>
              <w:rPr>
                <w:sz w:val="21"/>
              </w:rPr>
              <w:t>扣分</w:t>
            </w:r>
          </w:p>
        </w:tc>
        <w:tc>
          <w:tcPr>
            <w:tcW w:type="dxa" w:w="574"/>
            <w:tcBorders>
              <w:top w:val="single" w:color="000000" w:sz="8"/>
              <w:left w:val="single" w:color="000000" w:sz="8"/>
              <w:bottom w:val="single" w:color="000000" w:sz="8"/>
              <w:right w:val="single" w:color="000000" w:sz="8"/>
            </w:tcBorders>
            <w:vAlign w:val="top"/>
          </w:tcPr>
          <w:p>
            <w:pPr>
              <w:jc w:val="center"/>
            </w:pPr>
            <w:r>
              <w:rPr>
                <w:sz w:val="21"/>
              </w:rPr>
              <w:t>得分</w:t>
            </w:r>
          </w:p>
        </w:tc>
      </w:tr>
      <w:tr>
        <w:tc>
          <w:tcPr>
            <w:tcW w:type="dxa" w:w="599"/>
            <w:vMerge w:val="restart"/>
            <w:tcBorders>
              <w:top w:val="none" w:color="000000" w:sz="4"/>
              <w:left w:val="single" w:color="000000" w:sz="8"/>
              <w:bottom w:val="single" w:color="000000" w:sz="8"/>
              <w:right w:val="single" w:color="000000" w:sz="8"/>
            </w:tcBorders>
            <w:vAlign w:val="top"/>
          </w:tcPr>
          <w:p>
            <w:r>
              <w:rPr>
                <w:sz w:val="21"/>
              </w:rPr>
              <w:t>工作人员</w:t>
            </w:r>
            <w:r>
              <w:rPr>
                <w:sz w:val="21"/>
              </w:rPr>
              <w:t>15</w:t>
            </w:r>
            <w:r>
              <w:rPr>
                <w:sz w:val="21"/>
              </w:rPr>
              <w:t>分</w:t>
            </w:r>
          </w:p>
        </w:tc>
        <w:tc>
          <w:tcPr>
            <w:tcW w:type="dxa" w:w="910"/>
            <w:tcBorders>
              <w:top w:val="none" w:color="000000" w:sz="4"/>
              <w:left w:val="single" w:color="000000" w:sz="8"/>
              <w:bottom w:val="single" w:color="000000" w:sz="8"/>
              <w:right w:val="single" w:color="000000" w:sz="8"/>
            </w:tcBorders>
            <w:vAlign w:val="top"/>
          </w:tcPr>
          <w:p>
            <w:r>
              <w:rPr>
                <w:sz w:val="21"/>
              </w:rPr>
              <w:t>着装</w:t>
            </w:r>
          </w:p>
        </w:tc>
        <w:tc>
          <w:tcPr>
            <w:tcW w:type="dxa" w:w="4914"/>
            <w:tcBorders>
              <w:top w:val="none" w:color="000000" w:sz="4"/>
              <w:left w:val="single" w:color="000000" w:sz="8"/>
              <w:bottom w:val="single" w:color="000000" w:sz="8"/>
              <w:right w:val="single" w:color="000000" w:sz="8"/>
            </w:tcBorders>
            <w:vAlign w:val="top"/>
          </w:tcPr>
          <w:p>
            <w:r>
              <w:rPr>
                <w:sz w:val="21"/>
              </w:rPr>
              <w:t>1、统一服装</w:t>
            </w:r>
            <w:r>
              <w:rPr>
                <w:sz w:val="21"/>
              </w:rPr>
              <w:t>、衣服整洁、</w:t>
            </w:r>
            <w:r>
              <w:rPr>
                <w:sz w:val="21"/>
              </w:rPr>
              <w:t>合体，不穿拖鞋，</w:t>
            </w:r>
            <w:r>
              <w:rPr>
                <w:sz w:val="21"/>
              </w:rPr>
              <w:t>身体无明显异味，戴工作卡上岗。</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948"/>
            <w:vMerge w:val="restart"/>
            <w:tcBorders>
              <w:top w:val="none" w:color="000000" w:sz="4"/>
              <w:left w:val="single" w:color="000000" w:sz="8"/>
              <w:bottom w:val="single" w:color="000000" w:sz="8"/>
              <w:right w:val="single" w:color="000000" w:sz="8"/>
            </w:tcBorders>
            <w:vAlign w:val="top"/>
          </w:tcPr>
          <w:p>
            <w:r>
              <w:rPr>
                <w:sz w:val="21"/>
              </w:rPr>
              <w:t>1项不达标扣1分</w:t>
            </w: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tcBorders>
              <w:top w:val="none" w:color="000000" w:sz="4"/>
              <w:left w:val="single" w:color="000000" w:sz="8"/>
              <w:bottom w:val="single" w:color="000000" w:sz="8"/>
              <w:right w:val="single" w:color="000000" w:sz="8"/>
            </w:tcBorders>
            <w:vAlign w:val="top"/>
          </w:tcPr>
          <w:p>
            <w:r>
              <w:rPr>
                <w:sz w:val="21"/>
              </w:rPr>
              <w:t>在岗情况</w:t>
            </w:r>
          </w:p>
        </w:tc>
        <w:tc>
          <w:tcPr>
            <w:tcW w:type="dxa" w:w="4914"/>
            <w:tcBorders>
              <w:top w:val="none" w:color="000000" w:sz="4"/>
              <w:left w:val="single" w:color="000000" w:sz="8"/>
              <w:bottom w:val="single" w:color="000000" w:sz="8"/>
              <w:right w:val="single" w:color="000000" w:sz="8"/>
            </w:tcBorders>
            <w:vAlign w:val="top"/>
          </w:tcPr>
          <w:p>
            <w:r>
              <w:rPr>
                <w:sz w:val="21"/>
              </w:rPr>
              <w:t>2、</w:t>
            </w:r>
            <w:r>
              <w:rPr>
                <w:sz w:val="21"/>
              </w:rPr>
              <w:t>无迟到早退，</w:t>
            </w:r>
            <w:r>
              <w:rPr>
                <w:sz w:val="21"/>
              </w:rPr>
              <w:t>无</w:t>
            </w:r>
            <w:r>
              <w:rPr>
                <w:sz w:val="21"/>
              </w:rPr>
              <w:t>闲聊和私自会客，工作期间不玩手机。</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5</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tcBorders>
              <w:top w:val="none" w:color="000000" w:sz="4"/>
              <w:left w:val="single" w:color="000000" w:sz="8"/>
              <w:bottom w:val="single" w:color="000000" w:sz="8"/>
              <w:right w:val="single" w:color="000000" w:sz="8"/>
            </w:tcBorders>
            <w:vAlign w:val="top"/>
          </w:tcPr>
          <w:p>
            <w:r>
              <w:rPr>
                <w:sz w:val="21"/>
              </w:rPr>
              <w:t>工作态度</w:t>
            </w:r>
          </w:p>
        </w:tc>
        <w:tc>
          <w:tcPr>
            <w:tcW w:type="dxa" w:w="4914"/>
            <w:tcBorders>
              <w:top w:val="none" w:color="000000" w:sz="4"/>
              <w:left w:val="single" w:color="000000" w:sz="8"/>
              <w:bottom w:val="single" w:color="000000" w:sz="8"/>
              <w:right w:val="single" w:color="000000" w:sz="8"/>
            </w:tcBorders>
            <w:vAlign w:val="top"/>
          </w:tcPr>
          <w:p>
            <w:r>
              <w:rPr>
                <w:sz w:val="21"/>
              </w:rPr>
              <w:t>3、工作认真负责，</w:t>
            </w:r>
            <w:r>
              <w:rPr>
                <w:sz w:val="21"/>
              </w:rPr>
              <w:t>服从工作安排及</w:t>
            </w:r>
            <w:r>
              <w:rPr>
                <w:sz w:val="21"/>
              </w:rPr>
              <w:t>主管部门的调配。</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val="restart"/>
            <w:tcBorders>
              <w:top w:val="none" w:color="000000" w:sz="4"/>
              <w:left w:val="single" w:color="000000" w:sz="8"/>
              <w:bottom w:val="single" w:color="000000" w:sz="8"/>
              <w:right w:val="single" w:color="000000" w:sz="8"/>
            </w:tcBorders>
            <w:vAlign w:val="top"/>
          </w:tcPr>
          <w:p/>
          <w:p/>
          <w:p/>
          <w:p/>
          <w:p/>
          <w:p/>
          <w:p/>
          <w:p/>
          <w:p>
            <w:pPr>
              <w:jc w:val="center"/>
            </w:pPr>
          </w:p>
          <w:p>
            <w:pPr>
              <w:jc w:val="center"/>
            </w:pPr>
            <w:r>
              <w:rPr>
                <w:sz w:val="21"/>
              </w:rPr>
              <w:t>岗位考评</w:t>
            </w:r>
            <w:r>
              <w:rPr>
                <w:sz w:val="21"/>
              </w:rPr>
              <w:t>70分</w:t>
            </w:r>
          </w:p>
          <w:p/>
          <w:p/>
          <w:p/>
          <w:p/>
          <w:p/>
          <w:p/>
          <w:p/>
        </w:tc>
        <w:tc>
          <w:tcPr>
            <w:tcW w:type="dxa" w:w="910"/>
            <w:vMerge w:val="restart"/>
            <w:tcBorders>
              <w:top w:val="none" w:color="000000" w:sz="4"/>
              <w:left w:val="single" w:color="000000" w:sz="8"/>
              <w:bottom w:val="single" w:color="000000" w:sz="8"/>
              <w:right w:val="single" w:color="000000" w:sz="8"/>
            </w:tcBorders>
            <w:vAlign w:val="top"/>
          </w:tcPr>
          <w:p/>
          <w:p/>
          <w:p/>
          <w:p/>
          <w:p/>
          <w:p>
            <w:r>
              <w:rPr>
                <w:sz w:val="21"/>
              </w:rPr>
              <w:t>工作情况</w:t>
            </w:r>
          </w:p>
        </w:tc>
        <w:tc>
          <w:tcPr>
            <w:tcW w:type="dxa" w:w="4914"/>
            <w:tcBorders>
              <w:top w:val="none" w:color="000000" w:sz="4"/>
              <w:left w:val="single" w:color="000000" w:sz="8"/>
              <w:bottom w:val="single" w:color="000000" w:sz="8"/>
              <w:right w:val="single" w:color="000000" w:sz="8"/>
            </w:tcBorders>
            <w:vAlign w:val="top"/>
          </w:tcPr>
          <w:p>
            <w:r>
              <w:rPr>
                <w:sz w:val="21"/>
              </w:rPr>
              <w:t>1、</w:t>
            </w:r>
            <w:r>
              <w:rPr>
                <w:sz w:val="21"/>
              </w:rPr>
              <w:t>轮椅清洁，车身无污迹、血迹，性能完好。</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948"/>
            <w:vMerge w:val="restart"/>
            <w:tcBorders>
              <w:top w:val="none" w:color="000000" w:sz="4"/>
              <w:left w:val="single" w:color="000000" w:sz="8"/>
              <w:bottom w:val="single" w:color="000000" w:sz="8"/>
              <w:right w:val="single" w:color="000000" w:sz="8"/>
            </w:tcBorders>
            <w:vAlign w:val="top"/>
          </w:tcPr>
          <w:p>
            <w:pPr>
              <w:jc w:val="left"/>
            </w:pPr>
            <w:r>
              <w:rPr>
                <w:sz w:val="21"/>
              </w:rPr>
              <w:t>1项不达标扣1分</w:t>
            </w: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2、</w:t>
            </w:r>
            <w:r>
              <w:rPr>
                <w:sz w:val="21"/>
              </w:rPr>
              <w:t>接班前做好运送工具的交接，包括轮椅的性能等情况，有问题及时反馈科室值班人员。</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3、根据病人病情以及医生护士送检登记安排，选择合适的运送工具按先后顺序、安全护送病人至超声、放射等部门行相关检查，各项外出检查前做好</w:t>
            </w:r>
            <w:r>
              <w:rPr>
                <w:sz w:val="21"/>
              </w:rPr>
              <w:t>查对床号、姓名</w:t>
            </w:r>
            <w:r>
              <w:rPr>
                <w:sz w:val="21"/>
              </w:rPr>
              <w:t>等病人信息</w:t>
            </w:r>
            <w:r>
              <w:rPr>
                <w:sz w:val="21"/>
              </w:rPr>
              <w:t>与检查</w:t>
            </w:r>
            <w:r>
              <w:rPr>
                <w:sz w:val="21"/>
              </w:rPr>
              <w:t>申请</w:t>
            </w:r>
            <w:r>
              <w:rPr>
                <w:sz w:val="21"/>
              </w:rPr>
              <w:t>单是否一致，做到准确无误。</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5</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4、途中注意观察患者神情、面色等，及时了解病人需求，遇有特殊情况及时报告科室。</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5、检查完毕，安全送返病房，并与管床护士做交接。</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6、禁止未经交接擅自带病人外出检查。</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5</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7、注意保护患者隐私，不得与病人交谈讨论与病情有关的话题，不得随意回答病人对病情及治疗的提问，与病人交谈要语气温和，不得粗暴及语气生硬。</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5</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8、</w:t>
            </w:r>
            <w:r>
              <w:rPr>
                <w:sz w:val="21"/>
              </w:rPr>
              <w:t>运送标本时，与病区护士做好标本</w:t>
            </w:r>
            <w:r>
              <w:rPr>
                <w:sz w:val="21"/>
              </w:rPr>
              <w:t>种类、数量</w:t>
            </w:r>
            <w:r>
              <w:rPr>
                <w:sz w:val="21"/>
              </w:rPr>
              <w:t>交接，按要求使用专用工具，</w:t>
            </w:r>
            <w:r>
              <w:rPr>
                <w:sz w:val="21"/>
              </w:rPr>
              <w:t>送检途中</w:t>
            </w:r>
            <w:r>
              <w:rPr>
                <w:sz w:val="21"/>
              </w:rPr>
              <w:t>确保标本完好，做到准确无误、</w:t>
            </w:r>
            <w:r>
              <w:rPr>
                <w:sz w:val="21"/>
              </w:rPr>
              <w:t>及时</w:t>
            </w:r>
            <w:r>
              <w:rPr>
                <w:sz w:val="21"/>
              </w:rPr>
              <w:t>，到检验科后</w:t>
            </w:r>
            <w:r>
              <w:rPr>
                <w:color w:val="000000"/>
                <w:sz w:val="21"/>
              </w:rPr>
              <w:t>与检验科值班人员做好标本交接，有问题及时与病区值班护士反馈。</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9、病区护士呼叫值班运送员时，运送员需在5分钟内到达，遇特殊情况如不能及时到达时应及时说明。</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10、12：00及17：30下班前到超声、放射、检验等部门取回病</w:t>
            </w:r>
            <w:r>
              <w:rPr>
                <w:color w:val="000000"/>
                <w:sz w:val="21"/>
              </w:rPr>
              <w:t>区当天检查检验报告并与当值护士交接。</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11、</w:t>
            </w:r>
            <w:r>
              <w:rPr>
                <w:sz w:val="21"/>
              </w:rPr>
              <w:t>与医护之间相互配合，如医护呼叫，第一时间应答，不得以正在做事为由不理睬。应急病人所急，优先配合医护人员处理急症病人。</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12、</w:t>
            </w:r>
            <w:r>
              <w:rPr>
                <w:sz w:val="21"/>
              </w:rPr>
              <w:t>每天</w:t>
            </w:r>
            <w:r>
              <w:rPr>
                <w:sz w:val="21"/>
              </w:rPr>
              <w:t>按院感消毒要求</w:t>
            </w:r>
            <w:r>
              <w:rPr>
                <w:sz w:val="21"/>
              </w:rPr>
              <w:t>对轮椅、平车等转运工具进行</w:t>
            </w:r>
            <w:r>
              <w:rPr>
                <w:sz w:val="21"/>
              </w:rPr>
              <w:t>终末消毒</w:t>
            </w:r>
            <w:r>
              <w:rPr>
                <w:sz w:val="21"/>
              </w:rPr>
              <w:t>处理。</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5</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13、</w:t>
            </w:r>
            <w:r>
              <w:rPr>
                <w:sz w:val="21"/>
              </w:rPr>
              <w:t>搬运过程中，注意安全、舒适，天气寒冷时注意保暧。</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14、</w:t>
            </w:r>
            <w:r>
              <w:rPr>
                <w:sz w:val="21"/>
              </w:rPr>
              <w:t>操作过程中须严格执行院感防控各项要求，如佩戴一次性手套、口罩，落实手卫生、消毒等。</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val="restart"/>
            <w:tcBorders>
              <w:top w:val="none" w:color="000000" w:sz="4"/>
              <w:left w:val="single" w:color="000000" w:sz="8"/>
              <w:bottom w:val="single" w:color="000000" w:sz="8"/>
              <w:right w:val="single" w:color="000000" w:sz="8"/>
            </w:tcBorders>
            <w:vAlign w:val="top"/>
          </w:tcPr>
          <w:p/>
          <w:p>
            <w:r>
              <w:rPr>
                <w:sz w:val="21"/>
              </w:rPr>
              <w:t>其他</w:t>
            </w:r>
            <w:r>
              <w:rPr>
                <w:sz w:val="21"/>
              </w:rPr>
              <w:t xml:space="preserve">   </w:t>
            </w:r>
            <w:r>
              <w:rPr>
                <w:sz w:val="21"/>
              </w:rPr>
              <w:t>15分</w:t>
            </w:r>
          </w:p>
          <w:p/>
        </w:tc>
        <w:tc>
          <w:tcPr>
            <w:tcW w:type="dxa" w:w="910"/>
            <w:vMerge w:val="restart"/>
            <w:tcBorders>
              <w:top w:val="none" w:color="000000" w:sz="4"/>
              <w:left w:val="single" w:color="000000" w:sz="8"/>
              <w:bottom w:val="single" w:color="000000" w:sz="8"/>
              <w:right w:val="single" w:color="000000" w:sz="8"/>
            </w:tcBorders>
            <w:vAlign w:val="top"/>
          </w:tcPr>
          <w:p>
            <w:r>
              <w:rPr>
                <w:sz w:val="21"/>
              </w:rPr>
              <w:t>工作礼仪</w:t>
            </w:r>
          </w:p>
        </w:tc>
        <w:tc>
          <w:tcPr>
            <w:tcW w:type="dxa" w:w="4914"/>
            <w:tcBorders>
              <w:top w:val="none" w:color="000000" w:sz="4"/>
              <w:left w:val="single" w:color="000000" w:sz="8"/>
              <w:bottom w:val="single" w:color="000000" w:sz="8"/>
              <w:right w:val="single" w:color="000000" w:sz="8"/>
            </w:tcBorders>
            <w:vAlign w:val="top"/>
          </w:tcPr>
          <w:p>
            <w:r>
              <w:rPr>
                <w:sz w:val="21"/>
              </w:rPr>
              <w:t>1、</w:t>
            </w:r>
            <w:r>
              <w:rPr>
                <w:color w:val="000000"/>
                <w:sz w:val="21"/>
              </w:rPr>
              <w:t>能应用礼貌用语询问病人</w:t>
            </w:r>
            <w:r>
              <w:rPr>
                <w:color w:val="000000"/>
                <w:sz w:val="21"/>
              </w:rPr>
              <w:t>。与医护之间友善相处（</w:t>
            </w:r>
            <w:r>
              <w:rPr>
                <w:sz w:val="21"/>
              </w:rPr>
              <w:t>“您好”“早上好”“晚上好”“先生</w:t>
            </w:r>
            <w:r>
              <w:rPr>
                <w:sz w:val="21"/>
              </w:rPr>
              <w:t>/女士好”</w:t>
            </w:r>
            <w:r>
              <w:rPr>
                <w:sz w:val="21"/>
              </w:rPr>
              <w:t>），</w:t>
            </w:r>
            <w:r>
              <w:rPr>
                <w:sz w:val="21"/>
              </w:rPr>
              <w:t>做到文明有礼。</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948"/>
            <w:vMerge w:val="restart"/>
            <w:tcBorders>
              <w:top w:val="none" w:color="000000" w:sz="4"/>
              <w:left w:val="single" w:color="000000" w:sz="8"/>
              <w:bottom w:val="single" w:color="000000" w:sz="8"/>
              <w:right w:val="single" w:color="000000" w:sz="8"/>
            </w:tcBorders>
            <w:vAlign w:val="top"/>
          </w:tcPr>
          <w:p>
            <w:pPr>
              <w:jc w:val="center"/>
            </w:pPr>
            <w:r>
              <w:rPr>
                <w:sz w:val="21"/>
              </w:rPr>
              <w:t>1项不达标扣1分</w:t>
            </w: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2、不在病区存放私人物品，如工衣、挂包等。不在病区进行沐浴更衣。</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5</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599"/>
            <w:vMerge/>
            <w:tcBorders>
              <w:top w:val="none" w:color="000000" w:sz="4"/>
              <w:left w:val="single" w:color="000000" w:sz="8"/>
              <w:bottom w:val="single" w:color="000000" w:sz="8"/>
              <w:right w:val="single" w:color="000000" w:sz="8"/>
            </w:tcBorders>
          </w:tcPr>
          <w:p/>
        </w:tc>
        <w:tc>
          <w:tcPr>
            <w:tcW w:type="dxa" w:w="910"/>
            <w:vMerge/>
            <w:tcBorders>
              <w:top w:val="none" w:color="000000" w:sz="4"/>
              <w:left w:val="single" w:color="000000" w:sz="8"/>
              <w:bottom w:val="single" w:color="000000" w:sz="8"/>
              <w:right w:val="single" w:color="000000" w:sz="8"/>
            </w:tcBorders>
          </w:tcPr>
          <w:p/>
        </w:tc>
        <w:tc>
          <w:tcPr>
            <w:tcW w:type="dxa" w:w="4914"/>
            <w:tcBorders>
              <w:top w:val="none" w:color="000000" w:sz="4"/>
              <w:left w:val="single" w:color="000000" w:sz="8"/>
              <w:bottom w:val="single" w:color="000000" w:sz="8"/>
              <w:right w:val="single" w:color="000000" w:sz="8"/>
            </w:tcBorders>
            <w:vAlign w:val="top"/>
          </w:tcPr>
          <w:p>
            <w:r>
              <w:rPr>
                <w:sz w:val="21"/>
              </w:rPr>
              <w:t>3、沟通有效，工作有效率。</w:t>
            </w:r>
          </w:p>
        </w:tc>
        <w:tc>
          <w:tcPr>
            <w:tcW w:type="dxa" w:w="3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948"/>
            <w:vMerge/>
            <w:tcBorders>
              <w:top w:val="none" w:color="000000" w:sz="4"/>
              <w:left w:val="single" w:color="000000" w:sz="8"/>
              <w:bottom w:val="single" w:color="000000" w:sz="8"/>
              <w:right w:val="single" w:color="000000" w:sz="8"/>
            </w:tcBorders>
          </w:tcPr>
          <w:p/>
        </w:tc>
        <w:tc>
          <w:tcPr>
            <w:tcW w:type="dxa" w:w="574"/>
            <w:tcBorders>
              <w:top w:val="none" w:color="000000" w:sz="4"/>
              <w:left w:val="single" w:color="000000" w:sz="8"/>
              <w:bottom w:val="single" w:color="000000" w:sz="8"/>
              <w:right w:val="single" w:color="000000" w:sz="8"/>
            </w:tcBorders>
            <w:vAlign w:val="top"/>
          </w:tcPr>
          <w:p/>
        </w:tc>
      </w:tr>
      <w:tr>
        <w:tc>
          <w:tcPr>
            <w:tcW w:type="dxa" w:w="1509"/>
            <w:gridSpan w:val="2"/>
            <w:tcBorders>
              <w:top w:val="none" w:color="000000" w:sz="4"/>
              <w:left w:val="single" w:color="000000" w:sz="8"/>
              <w:bottom w:val="single" w:color="000000" w:sz="8"/>
              <w:right w:val="single" w:color="000000" w:sz="8"/>
            </w:tcBorders>
            <w:vAlign w:val="top"/>
          </w:tcPr>
          <w:p>
            <w:pPr>
              <w:jc w:val="center"/>
            </w:pPr>
            <w:r>
              <w:rPr>
                <w:sz w:val="21"/>
              </w:rPr>
              <w:t>投诉、纠纷</w:t>
            </w:r>
          </w:p>
        </w:tc>
        <w:tc>
          <w:tcPr>
            <w:tcW w:type="dxa" w:w="6224"/>
            <w:gridSpan w:val="3"/>
            <w:tcBorders>
              <w:top w:val="none" w:color="000000" w:sz="4"/>
              <w:left w:val="single" w:color="000000" w:sz="8"/>
              <w:bottom w:val="single" w:color="000000" w:sz="8"/>
              <w:right w:val="single" w:color="000000" w:sz="8"/>
            </w:tcBorders>
            <w:vAlign w:val="top"/>
          </w:tcPr>
          <w:p>
            <w:r>
              <w:rPr>
                <w:sz w:val="21"/>
              </w:rPr>
              <w:t>每发生</w:t>
            </w:r>
            <w:r>
              <w:rPr>
                <w:sz w:val="21"/>
              </w:rPr>
              <w:t>1起投诉，属医院工作人员投诉的，扣10分；属病人投诉的，扣20分。</w:t>
            </w:r>
          </w:p>
        </w:tc>
        <w:tc>
          <w:tcPr>
            <w:tcW w:type="dxa" w:w="574"/>
            <w:tcBorders>
              <w:top w:val="none" w:color="000000" w:sz="4"/>
              <w:left w:val="single" w:color="000000" w:sz="8"/>
              <w:bottom w:val="single" w:color="000000" w:sz="8"/>
              <w:right w:val="single" w:color="000000" w:sz="8"/>
            </w:tcBorders>
            <w:vAlign w:val="top"/>
          </w:tcPr>
          <w:p/>
        </w:tc>
      </w:tr>
      <w:tr>
        <w:tc>
          <w:tcPr>
            <w:tcW w:type="dxa" w:w="1509"/>
            <w:gridSpan w:val="2"/>
            <w:vMerge w:val="restart"/>
            <w:tcBorders>
              <w:top w:val="none" w:color="000000" w:sz="4"/>
              <w:left w:val="single" w:color="000000" w:sz="8"/>
              <w:bottom w:val="single" w:color="000000" w:sz="8"/>
              <w:right w:val="single" w:color="000000" w:sz="8"/>
            </w:tcBorders>
            <w:vAlign w:val="top"/>
          </w:tcPr>
          <w:p>
            <w:pPr>
              <w:jc w:val="center"/>
            </w:pPr>
            <w:r>
              <w:rPr>
                <w:sz w:val="21"/>
              </w:rPr>
              <w:t>运送工作评价</w:t>
            </w:r>
          </w:p>
        </w:tc>
        <w:tc>
          <w:tcPr>
            <w:tcW w:type="dxa" w:w="6224"/>
            <w:gridSpan w:val="3"/>
            <w:tcBorders>
              <w:top w:val="none" w:color="000000" w:sz="4"/>
              <w:left w:val="single" w:color="000000" w:sz="8"/>
              <w:bottom w:val="single" w:color="000000" w:sz="8"/>
              <w:right w:val="single" w:color="000000" w:sz="8"/>
            </w:tcBorders>
            <w:vAlign w:val="top"/>
          </w:tcPr>
          <w:p>
            <w:r>
              <w:rPr>
                <w:sz w:val="21"/>
              </w:rPr>
              <w:t>存在问题：</w:t>
            </w:r>
          </w:p>
        </w:tc>
        <w:tc>
          <w:tcPr>
            <w:tcW w:type="dxa" w:w="574"/>
            <w:vMerge w:val="restart"/>
            <w:tcBorders>
              <w:top w:val="none" w:color="000000" w:sz="4"/>
              <w:left w:val="single" w:color="000000" w:sz="8"/>
              <w:bottom w:val="single" w:color="000000" w:sz="8"/>
              <w:right w:val="single" w:color="000000" w:sz="8"/>
            </w:tcBorders>
            <w:vAlign w:val="top"/>
          </w:tcPr>
          <w:p/>
        </w:tc>
      </w:tr>
      <w:tr>
        <w:tc>
          <w:tcPr>
            <w:tcW w:type="dxa" w:w="1509"/>
            <w:gridSpan w:val="2"/>
            <w:vMerge/>
            <w:tcBorders>
              <w:top w:val="none" w:color="000000" w:sz="4"/>
              <w:left w:val="single" w:color="000000" w:sz="8"/>
              <w:bottom w:val="single" w:color="000000" w:sz="8"/>
              <w:right w:val="single" w:color="000000" w:sz="8"/>
            </w:tcBorders>
          </w:tcPr>
          <w:p/>
        </w:tc>
        <w:tc>
          <w:tcPr>
            <w:tcW w:type="dxa" w:w="6224"/>
            <w:gridSpan w:val="3"/>
            <w:tcBorders>
              <w:top w:val="none" w:color="000000" w:sz="4"/>
              <w:left w:val="single" w:color="000000" w:sz="8"/>
              <w:bottom w:val="single" w:color="000000" w:sz="8"/>
              <w:right w:val="single" w:color="000000" w:sz="8"/>
            </w:tcBorders>
            <w:vAlign w:val="top"/>
          </w:tcPr>
          <w:p>
            <w:r>
              <w:rPr>
                <w:sz w:val="21"/>
              </w:rPr>
              <w:t>工作建议：</w:t>
            </w:r>
          </w:p>
        </w:tc>
      </w:tr>
    </w:tbl>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8304"/>
            <w:gridSpan w:val="6"/>
            <w:tcBorders>
              <w:top w:val="none" w:color="000000" w:sz="4"/>
              <w:left w:val="none" w:color="000000" w:sz="4"/>
              <w:bottom w:val="none" w:color="000000" w:sz="4"/>
              <w:right w:val="none" w:color="000000" w:sz="4"/>
            </w:tcBorders>
            <w:vAlign w:val="top"/>
          </w:tcPr>
          <w:p>
            <w:pPr>
              <w:jc w:val="both"/>
            </w:pPr>
          </w:p>
        </w:tc>
      </w:tr>
    </w:tbl>
    <w:p>
      <w:pPr>
        <w:jc w:val="both"/>
      </w:pPr>
    </w:p>
    <w:p>
      <w:pPr>
        <w:ind w:firstLine="420"/>
        <w:jc w:val="both"/>
      </w:pPr>
      <w:r>
        <w:rPr>
          <w:sz w:val="21"/>
        </w:rPr>
        <w:t>2、每月从服务费中提取50%作服务质量绩效考核，根据运送岗位考核实际得分按比例支付该部分服务费；护理部负责考核；总务科汇总、统计运送服务费实际支付总额，统计结果报医院有关部门。</w:t>
      </w:r>
    </w:p>
    <w:p>
      <w:pPr>
        <w:ind w:firstLine="420"/>
        <w:jc w:val="both"/>
      </w:pPr>
      <w:r>
        <w:rPr>
          <w:sz w:val="21"/>
        </w:rPr>
        <w:t>3、岗位考核低于60分的运送员，医院有权要求运送公司予以开除，在本采购服务期内不得再次录用。</w:t>
      </w:r>
    </w:p>
    <w:p>
      <w:pPr>
        <w:ind w:firstLine="420"/>
        <w:jc w:val="both"/>
      </w:pPr>
      <w:r>
        <w:rPr>
          <w:sz w:val="21"/>
        </w:rPr>
        <w:t>4、★一年内累计两次运送质量绩效考核评分低于80分，采购人有权终止合同，无需承担责任，且不再续签本项目招标采购期限内合同；单次考核运送质量评分低于70分，采购人有权终止合同，无需承担责任，且不再续签本项目招标采购期限内合同。</w:t>
      </w:r>
    </w:p>
    <w:p/>
    <w:p>
      <w:pPr>
        <w:ind w:firstLine="480"/>
      </w:pPr>
    </w:p>
    <w:p/>
    <w:p>
      <w:r>
        <w:rPr/>
        <w:t>合同包1（中山市坦洲人民医院运送服务项目（2023年1月1日至2024年12月31日））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2023年1月1日至2024年12月31日（合同一年一签）。</w:t>
            </w:r>
          </w:p>
        </w:tc>
      </w:tr>
      <w:tr>
        <w:tc>
          <w:tcPr>
            <w:tcW w:type="dxa" w:w="4153"/>
          </w:tcPr>
          <w:p>
            <w:r>
              <w:rPr/>
              <w:t>标的提供的地点</w:t>
            </w:r>
          </w:p>
        </w:tc>
        <w:tc>
          <w:tcPr>
            <w:tcW w:type="dxa" w:w="4153"/>
          </w:tcPr>
          <w:p/>
          <w:p>
            <w:r>
              <w:rPr/>
              <w:t>中山市坦洲人民医院</w:t>
            </w:r>
          </w:p>
        </w:tc>
      </w:tr>
      <w:tr>
        <w:tc>
          <w:tcPr>
            <w:tcW w:type="dxa" w:w="4153"/>
          </w:tcPr>
          <w:p>
            <w:r>
              <w:rPr/>
              <w:t>付款方式</w:t>
            </w:r>
          </w:p>
        </w:tc>
        <w:tc>
          <w:tcPr>
            <w:tcW w:type="dxa" w:w="4153"/>
          </w:tcPr>
          <w:p/>
          <w:p/>
          <w:p>
            <w:r>
              <w:rPr/>
              <w:t>1期：支付比例50%,1、基本服务费的支付：支付比例50%。 基本运送服务费=中标（成交）金额÷24×50%</w:t>
            </w:r>
          </w:p>
          <w:p/>
          <w:p>
            <w:r>
              <w:rPr/>
              <w:t>2期：支付比例50%,2、每月从服务费中预留50%作服务质量绩效考核，根据运送服务质量绩效考核实际得分等比例支付该部分服务费；护理部负责考核；总务科汇总、统计运送服务费实际支付总额，统计结果报医院有关部门。 运送服务质量绩效考核费用=中标（成交）金额÷24×50%×运送服务质量绩效考核实际得分% 3、采购人应向中标人支付的月服务费用=基本运送服务费+运送服务质量绩效考核费用-因缺人需扣除的款项 中标人提供与支付金额相符的运送服务费发票，采购人在收到发票后以公对公转账方式支付运送服务费。</w:t>
            </w:r>
          </w:p>
        </w:tc>
      </w:tr>
      <w:tr>
        <w:tc>
          <w:tcPr>
            <w:tcW w:type="dxa" w:w="4153"/>
          </w:tcPr>
          <w:p>
            <w:r>
              <w:rPr/>
              <w:t>验收要求</w:t>
            </w:r>
          </w:p>
        </w:tc>
        <w:tc>
          <w:tcPr>
            <w:tcW w:type="dxa" w:w="4153"/>
          </w:tcPr>
          <w:p/>
          <w:p/>
          <w:p/>
          <w:p>
            <w:r>
              <w:rPr/>
              <w:t>1期：按照采购需求中的考核标准执行。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医院服务</w:t>
            </w:r>
          </w:p>
        </w:tc>
        <w:tc>
          <w:tcPr>
            <w:tcW w:type="dxa" w:w="933"/>
          </w:tcPr>
          <w:p>
            <w:pPr>
              <w:jc w:val="left"/>
            </w:pPr>
            <w:r>
              <w:rPr/>
              <w:t>医疗运送</w:t>
            </w:r>
          </w:p>
        </w:tc>
        <w:tc>
          <w:tcPr>
            <w:tcW w:type="dxa" w:w="933"/>
          </w:tcPr>
          <w:p>
            <w:pPr>
              <w:jc w:val="left"/>
            </w:pPr>
            <w:r>
              <w:rPr/>
              <w:t>项</w:t>
            </w:r>
          </w:p>
        </w:tc>
        <w:tc>
          <w:tcPr>
            <w:tcW w:type="dxa" w:w="933"/>
          </w:tcPr>
          <w:p>
            <w:pPr>
              <w:jc w:val="right"/>
            </w:pPr>
            <w:r>
              <w:rPr/>
              <w:t>1.00</w:t>
            </w:r>
          </w:p>
        </w:tc>
        <w:tc>
          <w:tcPr>
            <w:tcW w:type="dxa" w:w="933"/>
          </w:tcPr>
          <w:p>
            <w:pPr>
              <w:jc w:val="right"/>
            </w:pPr>
            <w:r>
              <w:rPr/>
              <w:t>2,649,600.00</w:t>
            </w:r>
          </w:p>
        </w:tc>
        <w:tc>
          <w:tcPr>
            <w:tcW w:type="dxa" w:w="933"/>
          </w:tcPr>
          <w:p>
            <w:pPr>
              <w:jc w:val="right"/>
            </w:pPr>
            <w:r>
              <w:rPr/>
              <w:t>2,649,600.00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医疗运送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20"/>
            </w:pPr>
            <w:r>
              <w:rPr>
                <w:sz w:val="21"/>
              </w:rPr>
              <w:t>3、★投标人须满足所有招标采购服务需求中的星号条款，对每一条星号条款作出书面承诺（格式自拟）</w:t>
            </w:r>
          </w:p>
        </w:tc>
      </w:tr>
      <w:tr>
        <w:tc>
          <w:tcPr>
            <w:tcW w:type="dxa" w:w="2076"/>
          </w:tcPr>
          <w:p>
            <w:r>
              <w:rPr/>
              <w:t>★</w:t>
            </w:r>
          </w:p>
        </w:tc>
        <w:tc>
          <w:tcPr>
            <w:tcW w:type="dxa" w:w="415"/>
          </w:tcPr>
          <w:p>
            <w:r>
              <w:rPr/>
              <w:t>2</w:t>
            </w:r>
          </w:p>
        </w:tc>
        <w:tc>
          <w:tcPr>
            <w:tcW w:type="dxa" w:w="5814"/>
          </w:tcPr>
          <w:p>
            <w:r>
              <w:rPr>
                <w:sz w:val="21"/>
              </w:rPr>
              <w:t xml:space="preserve">   2、★运送员要求男性55岁以下，女性53岁以下，能识字、写字，会使用普通话交流。急诊科、ICU、神经内科病区、骨科病区等部门运送员原则上要求具有初中及以上文化水平。所有运送员均须配备智能手机并掌握使用方法，能自行扫码显示健康码、行程码，进行健康申报等。运送员需身体健康，无传染性疾病，上岗前需持有有效期内的健康证（体检项目须包含“感染四项”），经新冠病毒核酸检测阴性（包括试工人员）并经我院疫情防控岗前培训、考核合格才能上岗。健康体检费用、新冠病毒核酸检测费用由投标人自行承担。</w:t>
            </w:r>
          </w:p>
        </w:tc>
      </w:tr>
      <w:tr>
        <w:tc>
          <w:tcPr>
            <w:tcW w:type="dxa" w:w="2076"/>
          </w:tcPr>
          <w:p>
            <w:r>
              <w:rPr/>
              <w:t>★</w:t>
            </w:r>
          </w:p>
        </w:tc>
        <w:tc>
          <w:tcPr>
            <w:tcW w:type="dxa" w:w="415"/>
          </w:tcPr>
          <w:p>
            <w:r>
              <w:rPr/>
              <w:t>3</w:t>
            </w:r>
          </w:p>
        </w:tc>
        <w:tc>
          <w:tcPr>
            <w:tcW w:type="dxa" w:w="5814"/>
          </w:tcPr>
          <w:p>
            <w:r>
              <w:rPr>
                <w:sz w:val="21"/>
              </w:rPr>
              <w:t xml:space="preserve">   6、★须按照《中山市坦洲人民医院运送岗位人员配置需求表》配置足够数量且符合年龄、文化水平、使用智能手机及健康要求的运送员，不能同时满足上述条件的运送员视为缺人，从投标人执行合同之日起，每缺1人每天扣除服务费307元，当月执行。</w:t>
            </w:r>
          </w:p>
        </w:tc>
      </w:tr>
      <w:tr>
        <w:tc>
          <w:tcPr>
            <w:tcW w:type="dxa" w:w="2076"/>
          </w:tcPr>
          <w:p>
            <w:r>
              <w:rPr/>
              <w:t>★</w:t>
            </w:r>
          </w:p>
        </w:tc>
        <w:tc>
          <w:tcPr>
            <w:tcW w:type="dxa" w:w="415"/>
          </w:tcPr>
          <w:p>
            <w:r>
              <w:rPr/>
              <w:t>4</w:t>
            </w:r>
          </w:p>
        </w:tc>
        <w:tc>
          <w:tcPr>
            <w:tcW w:type="dxa" w:w="5814"/>
          </w:tcPr>
          <w:p>
            <w:pPr>
              <w:jc w:val="both"/>
            </w:pPr>
            <w:r>
              <w:rPr>
                <w:sz w:val="21"/>
              </w:rPr>
              <w:t xml:space="preserve">    4、★一年内累计两次运送质量绩效考核评分低于80分，采购人有权终止合同，无需承担责任，且不再续签本项目招标采购期限内合同；单次考核运送质量评分低于70分，采购人有权终止合同，无需承担责任，且不再续签本项目招标采购期限内合同。</w:t>
            </w:r>
          </w:p>
        </w:tc>
      </w:tr>
      <w:tr>
        <w:tc>
          <w:tcPr>
            <w:tcW w:type="dxa" w:w="2076"/>
          </w:tcPr>
          <w:p>
            <w:r>
              <w:rPr/>
              <w:t>★</w:t>
            </w:r>
          </w:p>
        </w:tc>
        <w:tc>
          <w:tcPr>
            <w:tcW w:type="dxa" w:w="415"/>
          </w:tcPr>
          <w:p>
            <w:r>
              <w:rPr/>
              <w:t>5</w:t>
            </w:r>
          </w:p>
        </w:tc>
        <w:tc>
          <w:tcPr>
            <w:tcW w:type="dxa" w:w="5814"/>
          </w:tcPr>
          <w:p>
            <w:r>
              <w:rPr>
                <w:sz w:val="21"/>
              </w:rPr>
              <w:t xml:space="preserve">  ★</w:t>
            </w:r>
            <w:r>
              <w:rPr>
                <w:sz w:val="21"/>
              </w:rPr>
              <w:t>2023</w:t>
            </w:r>
            <w:r>
              <w:rPr>
                <w:sz w:val="21"/>
              </w:rPr>
              <w:t>年</w:t>
            </w:r>
            <w:r>
              <w:rPr>
                <w:sz w:val="21"/>
              </w:rPr>
              <w:t>1</w:t>
            </w:r>
            <w:r>
              <w:rPr>
                <w:sz w:val="21"/>
              </w:rPr>
              <w:t>月</w:t>
            </w:r>
            <w:r>
              <w:rPr>
                <w:sz w:val="21"/>
              </w:rPr>
              <w:t>1</w:t>
            </w:r>
            <w:r>
              <w:rPr>
                <w:sz w:val="21"/>
              </w:rPr>
              <w:t>日至</w:t>
            </w:r>
            <w:r>
              <w:rPr>
                <w:sz w:val="21"/>
              </w:rPr>
              <w:t>2024</w:t>
            </w:r>
            <w:r>
              <w:rPr>
                <w:sz w:val="21"/>
              </w:rPr>
              <w:t>年</w:t>
            </w:r>
            <w:r>
              <w:rPr>
                <w:sz w:val="21"/>
              </w:rPr>
              <w:t>12</w:t>
            </w:r>
            <w:r>
              <w:rPr>
                <w:sz w:val="21"/>
              </w:rPr>
              <w:t>月</w:t>
            </w:r>
            <w:r>
              <w:rPr>
                <w:sz w:val="21"/>
              </w:rPr>
              <w:t>31</w:t>
            </w:r>
            <w:r>
              <w:rPr>
                <w:sz w:val="21"/>
              </w:rPr>
              <w:t>日（合同一年一签）</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中山市坦洲人民医院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坦洲人民医院运送服务项目（2023年1月1日至2024年12月31日）)：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采购包1（中山市坦洲人民医院运送服务项目（2023年1月1日至2024年12月31日））：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采购包1（中山市坦洲人民医院运送服务项目（2023年1月1日至2024年12月31日））：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具有良好的商业信誉和健全的财务会计制度：投标人必须具有良好的商业信誉和健全的财务会计制度（提供2021年度财务状况报告或投标截止日前12个月内任意1个月的财务报表或基本开户行出具的资信证明）。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本项目属于专门面向中小企业采购的项目</w:t>
            </w:r>
          </w:p>
        </w:tc>
      </w:tr>
    </w:tbl>
    <w:p/>
    <w:p>
      <w:pPr>
        <w:ind w:firstLine="480"/>
      </w:pPr>
      <w:r>
        <w:rPr/>
        <w:t>表二符合性审查表：</w:t>
      </w:r>
    </w:p>
    <w:p>
      <w:pPr>
        <w:ind w:firstLine="480"/>
      </w:pPr>
    </w:p>
    <w:p/>
    <w:p>
      <w:r>
        <w:rPr/>
        <w:t>采购包1（中山市坦洲人民医院运送服务项目（2023年1月1日至2024年12月31日））：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投标函及投标有效期符合要求</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投标（报价）总金额是固定价且是唯一的，投标报价未超过最高限价。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采购包1中山市坦洲人民医院运送服务项目（2023年1月1日至2024年12月31日）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商务部分31.0分</w:t>
            </w:r>
          </w:p>
          <w:p>
            <w:r>
              <w:rPr/>
              <w:t>技术部分59.0分</w:t>
            </w:r>
          </w:p>
          <w:p>
            <w:r>
              <w:rPr/>
              <w:t>报价得分10.0分</w:t>
            </w:r>
          </w:p>
        </w:tc>
      </w:tr>
      <w:tr>
        <w:tc>
          <w:tcPr>
            <w:tcW w:type="dxa" w:w="922"/>
            <w:gridSpan w:val="2"/>
            <w:vMerge w:val="restart"/>
          </w:tcPr>
          <w:p>
            <w:pPr>
              <w:jc w:val="center"/>
            </w:pPr>
            <w:r>
              <w:rPr/>
              <w:t>技术部分</w:t>
            </w:r>
          </w:p>
        </w:tc>
        <w:tc>
          <w:tcPr>
            <w:tcW w:type="dxa" w:w="2307"/>
          </w:tcPr>
          <w:p>
            <w:pPr>
              <w:jc w:val="left"/>
            </w:pPr>
            <w:r>
              <w:rPr/>
              <w:t>实施方案 (12.0分)</w:t>
            </w:r>
            <w:r>
              <w:rPr/>
              <w:t>，（等次分值选择：</w:t>
            </w:r>
            <w:r>
              <w:rPr/>
              <w:t>0.0;</w:t>
            </w:r>
            <w:r>
              <w:rPr/>
              <w:t>4.0;</w:t>
            </w:r>
            <w:r>
              <w:rPr/>
              <w:t>8.0;</w:t>
            </w:r>
            <w:r>
              <w:rPr/>
              <w:t>12.0;</w:t>
            </w:r>
            <w:r>
              <w:rPr/>
              <w:t>）</w:t>
            </w:r>
          </w:p>
        </w:tc>
        <w:tc>
          <w:tcPr>
            <w:tcW w:type="dxa" w:w="5076"/>
          </w:tcPr>
          <w:p>
            <w:pPr>
              <w:jc w:val="left"/>
            </w:pPr>
            <w:r>
              <w:rPr/>
              <w:t>根据投标人提供的项目实施计划、方案等内容，从方案制订是否详细、是否科学合理、操作性强等方面分析评审。 优：项目实施计划科学完善，方案制订详细、科学合理，符合项目要求的，可操作性强的，得12分。  良：项目实施计划较为科学完善，方案制订较详细、科学合理，较符合项目要求，可操作性较强的，得8分。  中：项目实施计划简单，方案制订基本符合项目要求，可操作性一般的，得4分。  差：未能完全提供项目实施计划 ，或制订的方案不能符合项目要求的，得0分。</w:t>
            </w:r>
          </w:p>
        </w:tc>
      </w:tr>
      <w:tr>
        <w:tc>
          <w:tcPr>
            <w:tcW w:type="dxa" w:w="922"/>
            <w:gridSpan w:val="2"/>
            <w:vMerge/>
          </w:tcPr>
          <w:p/>
        </w:tc>
        <w:tc>
          <w:tcPr>
            <w:tcW w:type="dxa" w:w="2307"/>
          </w:tcPr>
          <w:p>
            <w:pPr>
              <w:jc w:val="left"/>
            </w:pPr>
            <w:r>
              <w:rPr/>
              <w:t>人员培训及管理方案  (9.0分)</w:t>
            </w:r>
            <w:r>
              <w:rPr/>
              <w:t>，（等次分值选择：</w:t>
            </w:r>
            <w:r>
              <w:rPr/>
              <w:t>0.0;</w:t>
            </w:r>
            <w:r>
              <w:rPr/>
              <w:t>1.0;</w:t>
            </w:r>
            <w:r>
              <w:rPr/>
              <w:t>5.0;</w:t>
            </w:r>
            <w:r>
              <w:rPr/>
              <w:t>9.0;</w:t>
            </w:r>
            <w:r>
              <w:rPr/>
              <w:t>）</w:t>
            </w:r>
          </w:p>
        </w:tc>
        <w:tc>
          <w:tcPr>
            <w:tcW w:type="dxa" w:w="5076"/>
          </w:tcPr>
          <w:p>
            <w:pPr>
              <w:jc w:val="left"/>
            </w:pPr>
            <w:r>
              <w:rPr/>
              <w:t>优：有岗前培训和在岗培训，培训方案完善且有针对性，有详细的年度培训计划及管理方案且合理、有效、先进、科学合理，得9分； 良：有岗前培训和在岗培训，培训方案完善但不具有针对性，有详细的年度培训计划及管理方案且基本合理、有效、先进、科学合理，得5分； 中：有岗前培训和在岗培训，培训方案完善但不具有针对性，没有详细岗前培训和在岗培训 ，得1分； 差：有岗前培训和在岗培训，培训方案不完善不具有针对性，没有详细岗前培训和在岗培训 ，得0分；</w:t>
            </w:r>
          </w:p>
        </w:tc>
      </w:tr>
      <w:tr>
        <w:tc>
          <w:tcPr>
            <w:tcW w:type="dxa" w:w="922"/>
            <w:gridSpan w:val="2"/>
            <w:vMerge/>
          </w:tcPr>
          <w:p/>
        </w:tc>
        <w:tc>
          <w:tcPr>
            <w:tcW w:type="dxa" w:w="2307"/>
          </w:tcPr>
          <w:p>
            <w:pPr>
              <w:jc w:val="left"/>
            </w:pPr>
            <w:r>
              <w:rPr/>
              <w:t>工资及福利待遇保障等实施方案  (4.0分)</w:t>
            </w:r>
            <w:r>
              <w:rPr/>
              <w:t>，（等次分值选择：</w:t>
            </w:r>
            <w:r>
              <w:rPr/>
              <w:t>0.0;</w:t>
            </w:r>
            <w:r>
              <w:rPr/>
              <w:t>1.0;</w:t>
            </w:r>
            <w:r>
              <w:rPr/>
              <w:t>2.0;</w:t>
            </w:r>
            <w:r>
              <w:rPr/>
              <w:t>4.0;</w:t>
            </w:r>
            <w:r>
              <w:rPr/>
              <w:t>）</w:t>
            </w:r>
          </w:p>
        </w:tc>
        <w:tc>
          <w:tcPr>
            <w:tcW w:type="dxa" w:w="5076"/>
          </w:tcPr>
          <w:p>
            <w:pPr>
              <w:jc w:val="left"/>
            </w:pPr>
            <w:r>
              <w:rPr/>
              <w:t>根据投标人员工工资及福利待遇保障等实施方案进行评审： 优：方案详细 、合理、可行性高，得4分。  良：方案较详细、合理、具有一定可行性， 得2分。  中：方案一般、可行性一般，得1分。 差：方案不合理、可行性 差或不提供方案得0分。</w:t>
            </w:r>
          </w:p>
        </w:tc>
      </w:tr>
      <w:tr>
        <w:tc>
          <w:tcPr>
            <w:tcW w:type="dxa" w:w="922"/>
            <w:gridSpan w:val="2"/>
            <w:vMerge/>
          </w:tcPr>
          <w:p/>
        </w:tc>
        <w:tc>
          <w:tcPr>
            <w:tcW w:type="dxa" w:w="2307"/>
          </w:tcPr>
          <w:p>
            <w:pPr>
              <w:jc w:val="left"/>
            </w:pPr>
            <w:r>
              <w:rPr/>
              <w:t>项目管理  (10.0分)</w:t>
            </w:r>
            <w:r>
              <w:rPr/>
              <w:t>，（等次分值选择：</w:t>
            </w:r>
            <w:r>
              <w:rPr/>
              <w:t>0.0;</w:t>
            </w:r>
            <w:r>
              <w:rPr/>
              <w:t>2.0;</w:t>
            </w:r>
            <w:r>
              <w:rPr/>
              <w:t>6.0;</w:t>
            </w:r>
            <w:r>
              <w:rPr/>
              <w:t>10.0;</w:t>
            </w:r>
            <w:r>
              <w:rPr/>
              <w:t>）</w:t>
            </w:r>
          </w:p>
        </w:tc>
        <w:tc>
          <w:tcPr>
            <w:tcW w:type="dxa" w:w="5076"/>
          </w:tcPr>
          <w:p>
            <w:pPr>
              <w:jc w:val="left"/>
            </w:pPr>
            <w:r>
              <w:rPr/>
              <w:t>项目管理规章制度及档案资料管理符合医院要求并提供相关资料。  优：建立各项医疗运送服务管理制度、工作流程、质量管理体系及绩效考核机制，制度、流程清晰，管理体系完善，体现持续质量改进，得10分；  良：建立各项医疗运送服务管理制度、工作流程、质量管理体系及绩效考核机制， 制度、流程清晰，管理体系完善，得6分； 中： 建立各项医疗运送服务管理制度、工作流程、质量管理体系及绩效考核机制，制度、流程清晰，得:2 分； 差：没有的得0分。</w:t>
            </w:r>
          </w:p>
        </w:tc>
      </w:tr>
      <w:tr>
        <w:tc>
          <w:tcPr>
            <w:tcW w:type="dxa" w:w="922"/>
            <w:gridSpan w:val="2"/>
            <w:vMerge/>
          </w:tcPr>
          <w:p/>
        </w:tc>
        <w:tc>
          <w:tcPr>
            <w:tcW w:type="dxa" w:w="2307"/>
          </w:tcPr>
          <w:p>
            <w:pPr>
              <w:jc w:val="left"/>
            </w:pPr>
            <w:r>
              <w:rPr/>
              <w:t>交接工作方案 (8.0分)</w:t>
            </w:r>
            <w:r>
              <w:rPr/>
              <w:t>，（等次分值选择：</w:t>
            </w:r>
            <w:r>
              <w:rPr/>
              <w:t>0.0;</w:t>
            </w:r>
            <w:r>
              <w:rPr/>
              <w:t>2.0;</w:t>
            </w:r>
            <w:r>
              <w:rPr/>
              <w:t>5.0;</w:t>
            </w:r>
            <w:r>
              <w:rPr/>
              <w:t>8.0;</w:t>
            </w:r>
            <w:r>
              <w:rPr/>
              <w:t>）</w:t>
            </w:r>
          </w:p>
        </w:tc>
        <w:tc>
          <w:tcPr>
            <w:tcW w:type="dxa" w:w="5076"/>
          </w:tcPr>
          <w:p>
            <w:pPr>
              <w:jc w:val="left"/>
            </w:pPr>
            <w:r>
              <w:rPr/>
              <w:t>根据投标人的进驻服务，平稳交接过渡工作方案进行评定。 优：具有详细进驻过渡方案，且交接方案妥当、进驻服务完善，得8分;  良：具有进驻过渡方案，交接方案较妥当、进驻服务较完善，得5分; 中：具有进驻过渡方案，交接方案欠妥当、进驻服务不完善，得2分;  差：无过渡、交接方案，得0分;</w:t>
            </w:r>
          </w:p>
        </w:tc>
      </w:tr>
      <w:tr>
        <w:tc>
          <w:tcPr>
            <w:tcW w:type="dxa" w:w="922"/>
            <w:gridSpan w:val="2"/>
            <w:vMerge/>
          </w:tcPr>
          <w:p/>
        </w:tc>
        <w:tc>
          <w:tcPr>
            <w:tcW w:type="dxa" w:w="2307"/>
          </w:tcPr>
          <w:p>
            <w:pPr>
              <w:jc w:val="left"/>
            </w:pPr>
            <w:r>
              <w:rPr/>
              <w:t>突发情况处理措施及应急方案  (8.0分)</w:t>
            </w:r>
            <w:r>
              <w:rPr/>
              <w:t>，（等次分值选择：</w:t>
            </w:r>
            <w:r>
              <w:rPr/>
              <w:t>0.0;</w:t>
            </w:r>
            <w:r>
              <w:rPr/>
              <w:t>2.0;</w:t>
            </w:r>
            <w:r>
              <w:rPr/>
              <w:t>5.0;</w:t>
            </w:r>
            <w:r>
              <w:rPr/>
              <w:t>8.0;</w:t>
            </w:r>
            <w:r>
              <w:rPr/>
              <w:t>）</w:t>
            </w:r>
          </w:p>
        </w:tc>
        <w:tc>
          <w:tcPr>
            <w:tcW w:type="dxa" w:w="5076"/>
          </w:tcPr>
          <w:p>
            <w:pPr>
              <w:jc w:val="left"/>
            </w:pPr>
            <w:r>
              <w:rPr/>
              <w:t>各投标人针对本项目制定的突发事件的处理措施和应急预案： 优：突发事 件的处理措施和应急预案科学、合理，操作性强，得8分。  良：突发事件 的处理措施和应急预案较科学、合理，操作性较强，得5分。 中：突发事件的处理措施和应急预案操作性一般，得2分。  差：突发事件的处理措施和应急预案缺操作性，得0分。</w:t>
            </w:r>
          </w:p>
        </w:tc>
      </w:tr>
      <w:tr>
        <w:tc>
          <w:tcPr>
            <w:tcW w:type="dxa" w:w="922"/>
            <w:gridSpan w:val="2"/>
            <w:vMerge/>
          </w:tcPr>
          <w:p/>
        </w:tc>
        <w:tc>
          <w:tcPr>
            <w:tcW w:type="dxa" w:w="2307"/>
          </w:tcPr>
          <w:p>
            <w:pPr>
              <w:jc w:val="left"/>
            </w:pPr>
            <w:r>
              <w:rPr/>
              <w:t>投标人单位管理规章及档案资料管理评价 (5.0分)</w:t>
            </w:r>
            <w:r>
              <w:rPr/>
              <w:t>，（等次分值选择：</w:t>
            </w:r>
            <w:r>
              <w:rPr/>
              <w:t>0.0;</w:t>
            </w:r>
            <w:r>
              <w:rPr/>
              <w:t>1.0;</w:t>
            </w:r>
            <w:r>
              <w:rPr/>
              <w:t>3.0;</w:t>
            </w:r>
            <w:r>
              <w:rPr/>
              <w:t>5.0;</w:t>
            </w:r>
            <w:r>
              <w:rPr/>
              <w:t>）</w:t>
            </w:r>
          </w:p>
        </w:tc>
        <w:tc>
          <w:tcPr>
            <w:tcW w:type="dxa" w:w="5076"/>
          </w:tcPr>
          <w:p>
            <w:pPr>
              <w:jc w:val="left"/>
            </w:pPr>
            <w:r>
              <w:rPr/>
              <w:t>根据投标人制定的管理规章制度，档案资料管理进行评审： 优：制定的管理规章完整、严格，档案资料管理方案完善的，得 5分。 良: 制定的管理规章较完整、较严格，档案资料管理方案较完善的，得3分。 中: 制定的管理规章一般，档案资料管理方案一般的，得 1 分。 差：制定的管理规章不完整、不严格，缺少档案资料管理或不提供方案的，得0分。</w:t>
            </w:r>
          </w:p>
        </w:tc>
      </w:tr>
      <w:tr>
        <w:tc>
          <w:tcPr>
            <w:tcW w:type="dxa" w:w="922"/>
            <w:gridSpan w:val="2"/>
            <w:vMerge/>
          </w:tcPr>
          <w:p/>
        </w:tc>
        <w:tc>
          <w:tcPr>
            <w:tcW w:type="dxa" w:w="2307"/>
          </w:tcPr>
          <w:p>
            <w:pPr>
              <w:jc w:val="left"/>
            </w:pPr>
            <w:r>
              <w:rPr/>
              <w:t>质量保证体系及措施 (3.0分)</w:t>
            </w:r>
            <w:r>
              <w:rPr/>
              <w:t>，（等次分值选择：</w:t>
            </w:r>
            <w:r>
              <w:rPr/>
              <w:t>0.0;</w:t>
            </w:r>
            <w:r>
              <w:rPr/>
              <w:t>1.0;</w:t>
            </w:r>
            <w:r>
              <w:rPr/>
              <w:t>2.0;</w:t>
            </w:r>
            <w:r>
              <w:rPr/>
              <w:t>3.0;</w:t>
            </w:r>
            <w:r>
              <w:rPr/>
              <w:t>）</w:t>
            </w:r>
          </w:p>
        </w:tc>
        <w:tc>
          <w:tcPr>
            <w:tcW w:type="dxa" w:w="5076"/>
          </w:tcPr>
          <w:p>
            <w:pPr>
              <w:jc w:val="left"/>
            </w:pPr>
            <w:r>
              <w:rPr/>
              <w:t>根据投标人提供的质量保证体系及措施进行评审： 优:应对质量保证体系及措施详细、具体、合理、科学，可行性强,完全满足且优于项目需求的，得3分。 良：应对质量保证体系及措施基本合理、科学，可行性一般,基本满足项目需求的，得2分。 中:应对质量保证体系及措施有一定的可行性， 满足大部分项目需求的，得1分。 差:应对质量保证体系及措施不合理，可 行性低，不满足项目需求或不提供方案的，得0分。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1. 投标人具有有效的质量管理体系认证，得2分； 2. 投标人具有有效的环境管理体系认证，得2分； 3. 投标人具有有效的职业健康安全管理体系认证，得2分； 注：提供证书复印件并打印网页截图作为证明材料，证书的有效性以http://cx.cnca.cn/网站公布的网页截图为准，投标人通过网站进行打印，上述资料均需加盖投标人单位公章，未按要求提供的不得分。</w:t>
            </w:r>
          </w:p>
        </w:tc>
      </w:tr>
      <w:tr>
        <w:tc>
          <w:tcPr>
            <w:tcW w:type="dxa" w:w="922"/>
            <w:gridSpan w:val="2"/>
            <w:vMerge/>
          </w:tcPr>
          <w:p/>
        </w:tc>
        <w:tc>
          <w:tcPr>
            <w:tcW w:type="dxa" w:w="2307"/>
          </w:tcPr>
          <w:p>
            <w:pPr>
              <w:jc w:val="left"/>
            </w:pPr>
            <w:r>
              <w:rPr/>
              <w:t>业绩情况  (15.0分)</w:t>
            </w:r>
          </w:p>
        </w:tc>
        <w:tc>
          <w:tcPr>
            <w:tcW w:type="dxa" w:w="5076"/>
          </w:tcPr>
          <w:p>
            <w:pPr>
              <w:jc w:val="left"/>
            </w:pPr>
            <w:r>
              <w:rPr/>
              <w:t>投标人已完成或正在履行的同类项目情况，每提供一个得5分，最高得15分 ，没有的不得分。  注：提供合同复印件加盖公章，否则不得分</w:t>
            </w:r>
          </w:p>
        </w:tc>
      </w:tr>
      <w:tr>
        <w:tc>
          <w:tcPr>
            <w:tcW w:type="dxa" w:w="922"/>
            <w:gridSpan w:val="2"/>
            <w:vMerge/>
          </w:tcPr>
          <w:p/>
        </w:tc>
        <w:tc>
          <w:tcPr>
            <w:tcW w:type="dxa" w:w="2307"/>
          </w:tcPr>
          <w:p>
            <w:pPr>
              <w:jc w:val="left"/>
            </w:pPr>
            <w:r>
              <w:rPr/>
              <w:t>用户评价 (10.0分)</w:t>
            </w:r>
          </w:p>
        </w:tc>
        <w:tc>
          <w:tcPr>
            <w:tcW w:type="dxa" w:w="5076"/>
          </w:tcPr>
          <w:p>
            <w:pPr>
              <w:jc w:val="left"/>
            </w:pPr>
            <w:r>
              <w:rPr/>
              <w:t>针对以上有效业绩中获得项目采购人优秀或相当评价的，每提供一个得5分（同一个项目按一个评价计算），最高得10分。  注：提供上述有效业绩合同对应的采购人出具的评价证明文件并加盖公章，否则不得分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442000107-2022-00825</w:t>
      </w:r>
    </w:p>
    <w:p>
      <w:pPr>
        <w:jc w:val="center"/>
      </w:pPr>
      <w:r>
        <w:rPr>
          <w:b/>
          <w:sz w:val="24"/>
        </w:rPr>
        <w:t>采购项目编号：</w:t>
      </w:r>
      <w:r>
        <w:rPr>
          <w:b/>
          <w:sz w:val="24"/>
        </w:rPr>
        <w:t>ZSJD22ZC0081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中山市坦洲人民医院运送服务项目（2023年1月1日至2024年12月31日）</w:t>
      </w:r>
      <w:r>
        <w:rPr/>
        <w:t>项目的招标[采购项目编号为：</w:t>
      </w:r>
      <w:r>
        <w:rPr>
          <w:u w:val="single"/>
        </w:rPr>
        <w:t>ZSJD22ZC0081</w:t>
      </w:r>
      <w:r>
        <w:rPr/>
        <w:t>]，我方愿参与投标。</w:t>
      </w:r>
    </w:p>
    <w:p>
      <w:pPr>
        <w:ind w:firstLine="480"/>
      </w:pPr>
      <w:r>
        <w:rPr/>
        <w:t>我方确认收到贵方提供的</w:t>
      </w:r>
      <w:r>
        <w:rPr>
          <w:u w:val="single"/>
        </w:rPr>
        <w:t>中山市坦洲人民医院运送服务项目（2023年1月1日至2024年12月31日）</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中山市坦洲人民医院运送服务项目（2023年1月1日至2024年12月31日）</w:t>
      </w:r>
      <w:r>
        <w:rPr/>
        <w:t>项目采购[采购项目编号为</w:t>
      </w:r>
      <w:r>
        <w:rPr/>
        <w:t>ZSJD22ZC0081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中山市坦洲人民医院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中山市坦洲人民医院运送服务项目（2023年1月1日至2024年12月31日）</w:t>
      </w:r>
      <w:r>
        <w:rPr/>
        <w:t>招标中获中标（采购项目编号：</w:t>
      </w:r>
      <w:r>
        <w:rPr/>
        <w:t>ZSJD22ZC0081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中山市坦洲人民医院运送服务项目（2023年1月1日至2024年12月31日）</w:t>
      </w:r>
      <w:r>
        <w:rPr/>
        <w:t>项目（采购项目编号：</w:t>
      </w:r>
      <w:r>
        <w:rPr/>
        <w:t>ZSJD22ZC0081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