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1"/>
          <w:szCs w:val="21"/>
          <w:lang w:eastAsia="zh-CN"/>
        </w:rPr>
      </w:pPr>
      <w:r>
        <w:rPr>
          <w:rFonts w:hint="eastAsia"/>
          <w:b/>
          <w:bCs/>
          <w:sz w:val="28"/>
          <w:szCs w:val="28"/>
        </w:rPr>
        <w:t>中山市大涌镇污水处理厂委托运营管理及设备改造采购需求征求意见公告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一、采购项目名称：中山市大涌镇污水处理厂委托运营管理及设备改造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二、采购品目名称：其他市政公共设施管理服务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三、本公告期限（不得少于5个工作日）</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自2022年</w:t>
      </w:r>
      <w:r>
        <w:rPr>
          <w:rFonts w:hint="eastAsia" w:ascii="宋体" w:hAnsi="宋体" w:eastAsia="宋体" w:cs="宋体"/>
          <w:i w:val="0"/>
          <w:iCs w:val="0"/>
          <w:caps w:val="0"/>
          <w:color w:val="333333"/>
          <w:spacing w:val="0"/>
          <w:sz w:val="21"/>
          <w:szCs w:val="21"/>
          <w:highlight w:val="none"/>
          <w:shd w:val="clear" w:fill="FFFFFF"/>
          <w:lang w:val="en-US" w:eastAsia="zh-CN"/>
        </w:rPr>
        <w:t>06</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01</w:t>
      </w:r>
      <w:r>
        <w:rPr>
          <w:rFonts w:hint="eastAsia" w:ascii="宋体" w:hAnsi="宋体" w:eastAsia="宋体" w:cs="宋体"/>
          <w:i w:val="0"/>
          <w:iCs w:val="0"/>
          <w:caps w:val="0"/>
          <w:color w:val="333333"/>
          <w:spacing w:val="0"/>
          <w:sz w:val="21"/>
          <w:szCs w:val="21"/>
          <w:highlight w:val="none"/>
          <w:shd w:val="clear" w:fill="FFFFFF"/>
        </w:rPr>
        <w:t>日至2022年</w:t>
      </w:r>
      <w:r>
        <w:rPr>
          <w:rFonts w:hint="eastAsia" w:ascii="宋体" w:hAnsi="宋体" w:eastAsia="宋体" w:cs="宋体"/>
          <w:i w:val="0"/>
          <w:iCs w:val="0"/>
          <w:caps w:val="0"/>
          <w:color w:val="333333"/>
          <w:spacing w:val="0"/>
          <w:sz w:val="21"/>
          <w:szCs w:val="21"/>
          <w:highlight w:val="none"/>
          <w:shd w:val="clear" w:fill="FFFFFF"/>
          <w:lang w:val="en-US" w:eastAsia="zh-CN"/>
        </w:rPr>
        <w:t>06</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09</w:t>
      </w:r>
      <w:r>
        <w:rPr>
          <w:rFonts w:hint="eastAsia" w:ascii="宋体" w:hAnsi="宋体" w:eastAsia="宋体" w:cs="宋体"/>
          <w:i w:val="0"/>
          <w:iCs w:val="0"/>
          <w:caps w:val="0"/>
          <w:color w:val="333333"/>
          <w:spacing w:val="0"/>
          <w:sz w:val="21"/>
          <w:szCs w:val="21"/>
          <w:highlight w:val="none"/>
          <w:shd w:val="clear" w:fill="FFFFFF"/>
        </w:rPr>
        <w:t>日止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四、任何供应商、单位或者个人对本项目采购需求（征求意见稿）公告有异议的，可以自公告开始之日起至公告期满后5个工作日内将书面意见反馈给采购人、采购代理机构。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五、联系事项</w:t>
      </w:r>
      <w:bookmarkStart w:id="6" w:name="_GoBack"/>
      <w:bookmarkEnd w:id="6"/>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（一）采购人：中山市大涌镇城管住建和农业农村局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30" w:firstLineChars="300"/>
        <w:rPr>
          <w:rFonts w:hint="default" w:ascii="Helvetica" w:hAnsi="Helvetica" w:eastAsia="Helvetica" w:cs="Helvetica"/>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地址：中山市大涌镇励志路1</w:t>
      </w:r>
      <w:r>
        <w:rPr>
          <w:rFonts w:hint="eastAsia"/>
          <w:sz w:val="21"/>
          <w:szCs w:val="21"/>
          <w:highlight w:val="none"/>
        </w:rPr>
        <w:t>号城建大楼三楼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rPr>
          <w:rFonts w:hint="eastAsia" w:ascii="Helvetica" w:hAnsi="Helvetica" w:eastAsia="宋体" w:cs="Helvetica"/>
          <w:i w:val="0"/>
          <w:iCs w:val="0"/>
          <w:caps w:val="0"/>
          <w:color w:val="333333"/>
          <w:spacing w:val="0"/>
          <w:sz w:val="21"/>
          <w:szCs w:val="21"/>
          <w:highlight w:val="none"/>
          <w:lang w:eastAsia="zh-CN"/>
        </w:rPr>
      </w:pPr>
      <w:r>
        <w:rPr>
          <w:rFonts w:hint="eastAsia" w:ascii="宋体" w:hAnsi="宋体" w:eastAsia="宋体" w:cs="宋体"/>
          <w:i w:val="0"/>
          <w:iCs w:val="0"/>
          <w:caps w:val="0"/>
          <w:color w:val="333333"/>
          <w:spacing w:val="0"/>
          <w:sz w:val="21"/>
          <w:szCs w:val="21"/>
          <w:highlight w:val="none"/>
          <w:shd w:val="clear" w:fill="FFFFFF"/>
        </w:rPr>
        <w:t>联系人：习</w:t>
      </w:r>
      <w:r>
        <w:rPr>
          <w:rFonts w:hint="eastAsia" w:ascii="宋体" w:hAnsi="宋体" w:eastAsia="宋体" w:cs="宋体"/>
          <w:i w:val="0"/>
          <w:iCs w:val="0"/>
          <w:caps w:val="0"/>
          <w:color w:val="333333"/>
          <w:spacing w:val="0"/>
          <w:sz w:val="21"/>
          <w:szCs w:val="21"/>
          <w:highlight w:val="none"/>
          <w:shd w:val="clear" w:fill="FFFFFF"/>
          <w:lang w:eastAsia="zh-CN"/>
        </w:rPr>
        <w:t>先生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firstLineChars="30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联系电话：0760－87779366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（二）采购代理机构：广东省建东工程监理有限公司中山分公司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地址：中山市东区小鳌溪小陂路五巷五十四号2层（广东省建东工程监理有限公司中山分公司采购部</w:t>
      </w:r>
      <w:r>
        <w:rPr>
          <w:rFonts w:hint="eastAsia" w:ascii="宋体" w:hAnsi="宋体" w:eastAsia="宋体" w:cs="宋体"/>
          <w:i w:val="0"/>
          <w:iCs w:val="0"/>
          <w:caps w:val="0"/>
          <w:color w:val="333333"/>
          <w:spacing w:val="0"/>
          <w:sz w:val="21"/>
          <w:szCs w:val="21"/>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联系人：关先生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联系电话：0760-88399895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发布人：广东建东工程监理有限公司中山分公司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发布日期：2022年</w:t>
      </w:r>
      <w:r>
        <w:rPr>
          <w:rFonts w:hint="eastAsia" w:ascii="宋体" w:hAnsi="宋体" w:eastAsia="宋体" w:cs="宋体"/>
          <w:i w:val="0"/>
          <w:iCs w:val="0"/>
          <w:caps w:val="0"/>
          <w:color w:val="333333"/>
          <w:spacing w:val="0"/>
          <w:sz w:val="21"/>
          <w:szCs w:val="21"/>
          <w:shd w:val="clear" w:fill="FFFFFF"/>
          <w:lang w:val="en-US" w:eastAsia="zh-CN"/>
        </w:rPr>
        <w:t>06</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shd w:val="clear" w:fill="FFFFFF"/>
          <w:lang w:val="en-US" w:eastAsia="zh-CN"/>
        </w:rPr>
        <w:t>01</w:t>
      </w:r>
      <w:r>
        <w:rPr>
          <w:rFonts w:hint="eastAsia" w:ascii="宋体" w:hAnsi="宋体" w:eastAsia="宋体" w:cs="宋体"/>
          <w:i w:val="0"/>
          <w:iCs w:val="0"/>
          <w:caps w:val="0"/>
          <w:color w:val="333333"/>
          <w:spacing w:val="0"/>
          <w:sz w:val="21"/>
          <w:szCs w:val="21"/>
          <w:shd w:val="clear" w:fill="FFFFFF"/>
        </w:rPr>
        <w:t>日</w:t>
      </w:r>
    </w:p>
    <w:p>
      <w:pPr>
        <w:jc w:val="left"/>
        <w:rPr>
          <w:rFonts w:hint="eastAsia"/>
          <w:b/>
          <w:bCs/>
          <w:sz w:val="24"/>
          <w:szCs w:val="24"/>
          <w:lang w:eastAsia="zh-CN"/>
        </w:rPr>
      </w:pPr>
    </w:p>
    <w:p>
      <w:pPr>
        <w:pStyle w:val="2"/>
        <w:rPr>
          <w:rFonts w:hint="eastAsia"/>
          <w:b/>
          <w:bCs/>
          <w:sz w:val="24"/>
          <w:szCs w:val="24"/>
          <w:lang w:eastAsia="zh-CN"/>
        </w:rPr>
      </w:pPr>
    </w:p>
    <w:p>
      <w:pPr>
        <w:pStyle w:val="3"/>
        <w:rPr>
          <w:rFonts w:hint="eastAsia"/>
          <w:b/>
          <w:bCs/>
          <w:sz w:val="24"/>
          <w:szCs w:val="24"/>
          <w:lang w:eastAsia="zh-CN"/>
        </w:rPr>
      </w:pPr>
    </w:p>
    <w:p>
      <w:pPr>
        <w:rPr>
          <w:rFonts w:hint="eastAsia"/>
          <w:b/>
          <w:bCs/>
          <w:sz w:val="24"/>
          <w:szCs w:val="24"/>
          <w:lang w:eastAsia="zh-CN"/>
        </w:rPr>
      </w:pPr>
    </w:p>
    <w:p>
      <w:pPr>
        <w:pStyle w:val="2"/>
        <w:rPr>
          <w:rFonts w:hint="eastAsia"/>
          <w:b/>
          <w:bCs/>
          <w:sz w:val="24"/>
          <w:szCs w:val="24"/>
          <w:lang w:eastAsia="zh-CN"/>
        </w:rPr>
      </w:pPr>
    </w:p>
    <w:p>
      <w:pPr>
        <w:pStyle w:val="3"/>
        <w:rPr>
          <w:rFonts w:hint="eastAsia"/>
          <w:b/>
          <w:bCs/>
          <w:sz w:val="24"/>
          <w:szCs w:val="24"/>
          <w:lang w:eastAsia="zh-CN"/>
        </w:rPr>
      </w:pPr>
    </w:p>
    <w:p>
      <w:pPr>
        <w:rPr>
          <w:rFonts w:hint="eastAsia"/>
          <w:b/>
          <w:bCs/>
          <w:sz w:val="24"/>
          <w:szCs w:val="24"/>
          <w:lang w:eastAsia="zh-CN"/>
        </w:rPr>
      </w:pPr>
    </w:p>
    <w:p>
      <w:pPr>
        <w:pStyle w:val="2"/>
        <w:rPr>
          <w:rFonts w:hint="eastAsia"/>
          <w:b/>
          <w:bCs/>
          <w:sz w:val="24"/>
          <w:szCs w:val="24"/>
          <w:lang w:eastAsia="zh-CN"/>
        </w:rPr>
      </w:pPr>
    </w:p>
    <w:p>
      <w:pPr>
        <w:pStyle w:val="3"/>
        <w:rPr>
          <w:rFonts w:hint="eastAsia"/>
          <w:b/>
          <w:bCs/>
          <w:sz w:val="24"/>
          <w:szCs w:val="24"/>
          <w:lang w:eastAsia="zh-CN"/>
        </w:rPr>
      </w:pPr>
    </w:p>
    <w:p>
      <w:pPr>
        <w:rPr>
          <w:rFonts w:hint="eastAsia"/>
          <w:b/>
          <w:bCs/>
          <w:sz w:val="24"/>
          <w:szCs w:val="24"/>
          <w:lang w:eastAsia="zh-CN"/>
        </w:rPr>
      </w:pPr>
    </w:p>
    <w:p>
      <w:pPr>
        <w:autoSpaceDE/>
        <w:autoSpaceDN/>
        <w:spacing w:line="360" w:lineRule="auto"/>
        <w:rPr>
          <w:rFonts w:hint="eastAsia" w:ascii="宋体" w:hAnsi="宋体"/>
          <w:b/>
          <w:bCs/>
          <w:sz w:val="21"/>
          <w:szCs w:val="21"/>
          <w:lang w:val="en-US"/>
        </w:rPr>
      </w:pPr>
      <w:bookmarkStart w:id="0" w:name="_Toc78809892"/>
      <w:bookmarkStart w:id="1" w:name="_Toc551"/>
      <w:bookmarkStart w:id="2" w:name="_Toc23419"/>
      <w:bookmarkStart w:id="3" w:name="_Toc3546"/>
      <w:bookmarkStart w:id="4" w:name="_Toc22709"/>
      <w:bookmarkStart w:id="5" w:name="_Toc85725219"/>
      <w:r>
        <w:rPr>
          <w:rFonts w:hint="eastAsia" w:ascii="宋体" w:hAnsi="宋体"/>
          <w:b/>
          <w:bCs/>
          <w:sz w:val="21"/>
          <w:szCs w:val="21"/>
        </w:rPr>
        <w:t>运营管理</w:t>
      </w:r>
      <w:r>
        <w:rPr>
          <w:rFonts w:hint="eastAsia" w:ascii="宋体" w:hAnsi="宋体"/>
          <w:b/>
          <w:bCs/>
          <w:sz w:val="21"/>
          <w:szCs w:val="21"/>
          <w:lang w:val="en-US"/>
        </w:rPr>
        <w:t>部分</w:t>
      </w:r>
    </w:p>
    <w:p>
      <w:pPr>
        <w:autoSpaceDE/>
        <w:autoSpaceDN/>
        <w:spacing w:line="360" w:lineRule="auto"/>
        <w:rPr>
          <w:rFonts w:hint="eastAsia" w:ascii="宋体" w:hAnsi="宋体"/>
          <w:sz w:val="21"/>
          <w:szCs w:val="21"/>
        </w:rPr>
      </w:pPr>
      <w:r>
        <w:rPr>
          <w:rFonts w:hint="eastAsia" w:ascii="宋体" w:hAnsi="宋体"/>
          <w:sz w:val="21"/>
          <w:szCs w:val="21"/>
        </w:rPr>
        <w:t>一、项目概况：</w:t>
      </w:r>
    </w:p>
    <w:p>
      <w:pPr>
        <w:autoSpaceDE/>
        <w:autoSpaceDN/>
        <w:spacing w:line="360" w:lineRule="auto"/>
        <w:rPr>
          <w:rFonts w:hint="eastAsia" w:ascii="宋体" w:hAnsi="宋体"/>
          <w:sz w:val="21"/>
          <w:szCs w:val="21"/>
        </w:rPr>
      </w:pPr>
      <w:r>
        <w:rPr>
          <w:rFonts w:hint="eastAsia" w:ascii="宋体" w:hAnsi="宋体"/>
          <w:sz w:val="21"/>
          <w:szCs w:val="21"/>
        </w:rPr>
        <w:t>（一）总则</w:t>
      </w:r>
    </w:p>
    <w:p>
      <w:pPr>
        <w:autoSpaceDE/>
        <w:autoSpaceDN/>
        <w:spacing w:line="360" w:lineRule="auto"/>
        <w:rPr>
          <w:rFonts w:hint="eastAsia" w:ascii="宋体" w:hAnsi="宋体"/>
          <w:sz w:val="21"/>
          <w:szCs w:val="21"/>
        </w:rPr>
      </w:pPr>
      <w:r>
        <w:rPr>
          <w:rFonts w:hint="eastAsia" w:ascii="宋体" w:hAnsi="宋体"/>
          <w:sz w:val="21"/>
          <w:szCs w:val="21"/>
        </w:rPr>
        <w:t>1.投标人须对本项目内容进行整体投标，任何只对其中一部分内容进行的投标都将被视为无效投标。</w:t>
      </w:r>
    </w:p>
    <w:p>
      <w:pPr>
        <w:autoSpaceDE/>
        <w:autoSpaceDN/>
        <w:spacing w:line="360" w:lineRule="auto"/>
        <w:rPr>
          <w:rFonts w:hint="eastAsia" w:ascii="宋体" w:hAnsi="宋体"/>
          <w:sz w:val="21"/>
          <w:szCs w:val="21"/>
        </w:rPr>
      </w:pPr>
      <w:r>
        <w:rPr>
          <w:rFonts w:hint="eastAsia" w:ascii="宋体" w:hAnsi="宋体"/>
          <w:sz w:val="21"/>
          <w:szCs w:val="21"/>
          <w:lang w:val="en-US"/>
        </w:rPr>
        <w:t>2</w:t>
      </w:r>
      <w:r>
        <w:rPr>
          <w:rFonts w:hint="eastAsia" w:ascii="宋体" w:hAnsi="宋体"/>
          <w:sz w:val="21"/>
          <w:szCs w:val="21"/>
        </w:rPr>
        <w:t>.用户需求书中标记用 “★”号的条款为实质性条款，投标人如有任何一条未响应或不满足，按无效投标处理。</w:t>
      </w:r>
    </w:p>
    <w:p>
      <w:pPr>
        <w:autoSpaceDE/>
        <w:autoSpaceDN/>
        <w:spacing w:line="360" w:lineRule="auto"/>
        <w:rPr>
          <w:rFonts w:hint="eastAsia" w:ascii="宋体" w:hAnsi="宋体"/>
          <w:sz w:val="21"/>
          <w:szCs w:val="21"/>
        </w:rPr>
      </w:pPr>
      <w:r>
        <w:rPr>
          <w:rFonts w:hint="eastAsia" w:ascii="宋体" w:hAnsi="宋体"/>
          <w:sz w:val="21"/>
          <w:szCs w:val="21"/>
        </w:rPr>
        <w:t>（二） 项目概况</w:t>
      </w:r>
    </w:p>
    <w:p>
      <w:pPr>
        <w:autoSpaceDE/>
        <w:autoSpaceDN/>
        <w:spacing w:line="360" w:lineRule="auto"/>
        <w:rPr>
          <w:rFonts w:hint="eastAsia" w:ascii="宋体" w:hAnsi="宋体"/>
          <w:sz w:val="21"/>
          <w:szCs w:val="21"/>
        </w:rPr>
      </w:pPr>
      <w:r>
        <w:rPr>
          <w:rFonts w:hint="eastAsia" w:ascii="宋体" w:hAnsi="宋体"/>
          <w:sz w:val="21"/>
          <w:szCs w:val="21"/>
        </w:rPr>
        <w:t>1.项目内容：中山市大涌镇污水处理厂委托运营管理。</w:t>
      </w:r>
    </w:p>
    <w:p>
      <w:pPr>
        <w:autoSpaceDE/>
        <w:autoSpaceDN/>
        <w:spacing w:line="360" w:lineRule="auto"/>
        <w:rPr>
          <w:rFonts w:hint="eastAsia" w:ascii="宋体" w:hAnsi="宋体"/>
          <w:sz w:val="21"/>
          <w:szCs w:val="21"/>
        </w:rPr>
      </w:pPr>
      <w:r>
        <w:rPr>
          <w:rFonts w:hint="eastAsia" w:ascii="宋体" w:hAnsi="宋体"/>
          <w:sz w:val="21"/>
          <w:szCs w:val="21"/>
        </w:rPr>
        <w:t>2.地址：中山市大涌镇污水处理厂坐落在大涌镇岚田社区、西部排灌渠东北侧、大南路南侧。</w:t>
      </w:r>
    </w:p>
    <w:p>
      <w:pPr>
        <w:autoSpaceDE/>
        <w:autoSpaceDN/>
        <w:spacing w:line="360" w:lineRule="auto"/>
        <w:rPr>
          <w:rFonts w:hint="eastAsia" w:ascii="宋体" w:hAnsi="宋体"/>
          <w:sz w:val="21"/>
          <w:szCs w:val="21"/>
        </w:rPr>
      </w:pPr>
      <w:r>
        <w:rPr>
          <w:rFonts w:hint="eastAsia" w:ascii="宋体" w:hAnsi="宋体"/>
          <w:sz w:val="21"/>
          <w:szCs w:val="21"/>
        </w:rPr>
        <w:t>3.委托运营期限：自合同签订之日起</w:t>
      </w:r>
      <w:r>
        <w:rPr>
          <w:rFonts w:hint="eastAsia" w:ascii="宋体" w:hAnsi="宋体"/>
          <w:sz w:val="21"/>
          <w:szCs w:val="21"/>
          <w:lang w:val="en-US"/>
        </w:rPr>
        <w:t>2年</w:t>
      </w:r>
      <w:r>
        <w:rPr>
          <w:rFonts w:hint="eastAsia" w:ascii="宋体" w:hAnsi="宋体"/>
          <w:sz w:val="21"/>
          <w:szCs w:val="21"/>
        </w:rPr>
        <w:t>。</w:t>
      </w:r>
    </w:p>
    <w:p>
      <w:pPr>
        <w:autoSpaceDE/>
        <w:autoSpaceDN/>
        <w:spacing w:line="360" w:lineRule="auto"/>
        <w:rPr>
          <w:rFonts w:hint="eastAsia" w:ascii="宋体" w:hAnsi="宋体"/>
          <w:sz w:val="21"/>
          <w:szCs w:val="21"/>
        </w:rPr>
      </w:pPr>
      <w:r>
        <w:rPr>
          <w:rFonts w:hint="eastAsia" w:ascii="宋体" w:hAnsi="宋体"/>
          <w:sz w:val="21"/>
          <w:szCs w:val="21"/>
        </w:rPr>
        <w:t>4.水量：已建工程设计处理规模为3万m³/d，</w:t>
      </w:r>
      <w:r>
        <w:rPr>
          <w:rFonts w:hint="eastAsia" w:ascii="宋体" w:hAnsi="宋体"/>
          <w:sz w:val="21"/>
          <w:szCs w:val="21"/>
          <w:highlight w:val="none"/>
        </w:rPr>
        <w:t>现实际日平均处理量约2万m³/d。</w:t>
      </w:r>
    </w:p>
    <w:p>
      <w:pPr>
        <w:autoSpaceDE/>
        <w:autoSpaceDN/>
        <w:spacing w:line="360" w:lineRule="auto"/>
        <w:rPr>
          <w:rFonts w:hint="eastAsia" w:ascii="宋体" w:hAnsi="宋体"/>
          <w:sz w:val="21"/>
          <w:szCs w:val="21"/>
        </w:rPr>
      </w:pPr>
      <w:r>
        <w:rPr>
          <w:rFonts w:hint="eastAsia" w:ascii="宋体" w:hAnsi="宋体"/>
          <w:sz w:val="21"/>
          <w:szCs w:val="21"/>
        </w:rPr>
        <w:t>5.工艺：大涌镇污水厂采用CASS工艺，2020年已经完成提标改造及环保验收，提标改造工艺采用“精密转盘过滤器+紫外消毒”工艺，改造后出水水质达到一级A标准。</w:t>
      </w:r>
    </w:p>
    <w:p>
      <w:pPr>
        <w:autoSpaceDE/>
        <w:autoSpaceDN/>
        <w:spacing w:line="360" w:lineRule="auto"/>
        <w:rPr>
          <w:rFonts w:hint="eastAsia" w:ascii="宋体" w:hAnsi="宋体"/>
          <w:sz w:val="21"/>
          <w:szCs w:val="21"/>
        </w:rPr>
      </w:pPr>
      <w:r>
        <w:rPr>
          <w:rFonts w:hint="eastAsia" w:ascii="宋体" w:hAnsi="宋体"/>
          <w:sz w:val="21"/>
          <w:szCs w:val="21"/>
        </w:rPr>
        <w:t>6.设备情况</w:t>
      </w:r>
    </w:p>
    <w:p>
      <w:pPr>
        <w:autoSpaceDE/>
        <w:autoSpaceDN/>
        <w:spacing w:line="360" w:lineRule="auto"/>
        <w:rPr>
          <w:rFonts w:hint="eastAsia" w:ascii="宋体" w:hAnsi="宋体"/>
          <w:sz w:val="21"/>
          <w:szCs w:val="21"/>
        </w:rPr>
      </w:pPr>
      <w:r>
        <w:rPr>
          <w:rFonts w:hint="eastAsia" w:ascii="宋体" w:hAnsi="宋体"/>
          <w:sz w:val="21"/>
          <w:szCs w:val="21"/>
        </w:rPr>
        <w:t xml:space="preserve"> （详见主要设备一览表）</w:t>
      </w:r>
    </w:p>
    <w:p>
      <w:pPr>
        <w:autoSpaceDE/>
        <w:autoSpaceDN/>
        <w:spacing w:line="360" w:lineRule="auto"/>
        <w:rPr>
          <w:rFonts w:hint="eastAsia" w:ascii="宋体" w:hAnsi="宋体"/>
          <w:sz w:val="21"/>
          <w:szCs w:val="21"/>
        </w:rPr>
      </w:pPr>
      <w:r>
        <w:rPr>
          <w:rFonts w:hint="eastAsia" w:ascii="宋体" w:hAnsi="宋体"/>
          <w:sz w:val="21"/>
          <w:szCs w:val="21"/>
          <w:lang w:val="en-US"/>
        </w:rPr>
        <w:t>7.</w:t>
      </w:r>
      <w:r>
        <w:rPr>
          <w:rFonts w:hint="eastAsia" w:ascii="宋体" w:hAnsi="宋体"/>
          <w:sz w:val="21"/>
          <w:szCs w:val="21"/>
        </w:rPr>
        <w:t>进出水水质设计标准</w:t>
      </w:r>
    </w:p>
    <w:p>
      <w:pPr>
        <w:autoSpaceDE/>
        <w:autoSpaceDN/>
        <w:spacing w:line="360" w:lineRule="auto"/>
        <w:rPr>
          <w:rFonts w:hint="eastAsia" w:ascii="宋体" w:hAnsi="宋体"/>
          <w:sz w:val="21"/>
          <w:szCs w:val="21"/>
        </w:rPr>
      </w:pPr>
      <w:r>
        <w:rPr>
          <w:rFonts w:hint="eastAsia" w:ascii="宋体" w:hAnsi="宋体"/>
          <w:sz w:val="21"/>
          <w:szCs w:val="21"/>
        </w:rPr>
        <w:t>（1）进水标准</w:t>
      </w:r>
    </w:p>
    <w:p>
      <w:pPr>
        <w:autoSpaceDE/>
        <w:autoSpaceDN/>
        <w:spacing w:line="360" w:lineRule="auto"/>
        <w:rPr>
          <w:rFonts w:hint="eastAsia" w:ascii="宋体" w:hAnsi="宋体"/>
          <w:sz w:val="21"/>
          <w:szCs w:val="21"/>
        </w:rPr>
      </w:pPr>
      <w:r>
        <w:rPr>
          <w:rFonts w:hint="eastAsia" w:ascii="宋体" w:hAnsi="宋体"/>
          <w:sz w:val="21"/>
          <w:szCs w:val="21"/>
        </w:rPr>
        <w:t>收集到的生活污水进水水质应符合下表的规定：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rPr>
                <w:rFonts w:hint="eastAsia"/>
              </w:rPr>
            </w:pPr>
            <w:r>
              <w:rPr>
                <w:rFonts w:hint="eastAsia" w:ascii="宋体" w:hAnsi="宋体"/>
                <w:sz w:val="21"/>
                <w:szCs w:val="21"/>
                <w:lang w:val="en-US"/>
              </w:rPr>
              <w:t>名称</w:t>
            </w: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BOD</w:t>
            </w:r>
            <w:r>
              <w:rPr>
                <w:rFonts w:hint="eastAsia" w:ascii="宋体" w:hAnsi="宋体"/>
                <w:sz w:val="21"/>
                <w:szCs w:val="21"/>
                <w:vertAlign w:val="subscript"/>
                <w:lang w:val="en-US"/>
              </w:rPr>
              <w:t>5</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COD</w:t>
            </w:r>
            <w:r>
              <w:rPr>
                <w:rFonts w:hint="eastAsia" w:ascii="宋体" w:hAnsi="宋体"/>
                <w:sz w:val="21"/>
                <w:szCs w:val="21"/>
                <w:vertAlign w:val="subscript"/>
                <w:lang w:val="en-US"/>
              </w:rPr>
              <w:t>C</w:t>
            </w:r>
            <w:r>
              <w:rPr>
                <w:rFonts w:ascii="宋体" w:hAnsi="宋体"/>
                <w:sz w:val="21"/>
                <w:szCs w:val="21"/>
                <w:vertAlign w:val="subscript"/>
                <w:lang w:val="en-US"/>
              </w:rPr>
              <w:t>r</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SS</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TN</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NH</w:t>
            </w:r>
            <w:r>
              <w:rPr>
                <w:rFonts w:hint="eastAsia" w:ascii="宋体" w:hAnsi="宋体"/>
                <w:sz w:val="21"/>
                <w:szCs w:val="21"/>
                <w:vertAlign w:val="subscript"/>
                <w:lang w:val="en-US"/>
              </w:rPr>
              <w:t>3</w:t>
            </w:r>
            <w:r>
              <w:rPr>
                <w:rFonts w:hint="eastAsia" w:ascii="宋体" w:hAnsi="宋体"/>
                <w:sz w:val="21"/>
                <w:szCs w:val="21"/>
                <w:lang w:val="en-US"/>
              </w:rPr>
              <w:t>-N</w:t>
            </w:r>
          </w:p>
          <w:p>
            <w:pPr>
              <w:widowControl/>
              <w:jc w:val="center"/>
              <w:rPr>
                <w:rFonts w:hint="eastAsia" w:ascii="宋体" w:hAnsi="宋体"/>
                <w:sz w:val="21"/>
                <w:szCs w:val="21"/>
                <w:lang w:val="en-US"/>
              </w:rPr>
            </w:pPr>
          </w:p>
        </w:tc>
        <w:tc>
          <w:tcPr>
            <w:tcW w:w="106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TP</w:t>
            </w:r>
          </w:p>
          <w:p>
            <w:pPr>
              <w:widowControl/>
              <w:jc w:val="center"/>
              <w:rPr>
                <w:rFonts w:hint="eastAsia" w:ascii="宋体" w:hAnsi="宋体"/>
                <w:sz w:val="21"/>
                <w:szCs w:val="21"/>
                <w:lang w:val="en-US"/>
              </w:rPr>
            </w:pPr>
          </w:p>
        </w:tc>
        <w:tc>
          <w:tcPr>
            <w:tcW w:w="106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PH</w:t>
            </w:r>
          </w:p>
          <w:p>
            <w:pPr>
              <w:widowControl/>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进水水质</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≤125</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≤250</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≤150</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≤30</w:t>
            </w:r>
          </w:p>
          <w:p>
            <w:pPr>
              <w:widowControl/>
              <w:jc w:val="center"/>
              <w:rPr>
                <w:rFonts w:hint="eastAsia" w:ascii="宋体" w:hAnsi="宋体"/>
                <w:sz w:val="21"/>
                <w:szCs w:val="21"/>
                <w:lang w:val="en-US"/>
              </w:rPr>
            </w:pPr>
          </w:p>
        </w:tc>
        <w:tc>
          <w:tcPr>
            <w:tcW w:w="1065"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≤25</w:t>
            </w:r>
          </w:p>
          <w:p>
            <w:pPr>
              <w:widowControl/>
              <w:jc w:val="center"/>
              <w:rPr>
                <w:rFonts w:hint="eastAsia" w:ascii="宋体" w:hAnsi="宋体"/>
                <w:sz w:val="21"/>
                <w:szCs w:val="21"/>
                <w:lang w:val="en-US"/>
              </w:rPr>
            </w:pPr>
          </w:p>
        </w:tc>
        <w:tc>
          <w:tcPr>
            <w:tcW w:w="106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≤3.5</w:t>
            </w:r>
          </w:p>
          <w:p>
            <w:pPr>
              <w:widowControl/>
              <w:jc w:val="center"/>
              <w:rPr>
                <w:rFonts w:hint="eastAsia" w:ascii="宋体" w:hAnsi="宋体"/>
                <w:sz w:val="21"/>
                <w:szCs w:val="21"/>
                <w:lang w:val="en-US"/>
              </w:rPr>
            </w:pPr>
          </w:p>
        </w:tc>
        <w:tc>
          <w:tcPr>
            <w:tcW w:w="106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6.5-9</w:t>
            </w:r>
          </w:p>
          <w:p>
            <w:pPr>
              <w:widowControl/>
              <w:jc w:val="center"/>
              <w:rPr>
                <w:rFonts w:hint="eastAsia" w:ascii="宋体" w:hAnsi="宋体"/>
                <w:sz w:val="21"/>
                <w:szCs w:val="21"/>
                <w:lang w:val="en-US"/>
              </w:rPr>
            </w:pPr>
          </w:p>
        </w:tc>
      </w:tr>
    </w:tbl>
    <w:p>
      <w:pPr>
        <w:autoSpaceDE/>
        <w:autoSpaceDN/>
        <w:spacing w:line="360" w:lineRule="auto"/>
        <w:rPr>
          <w:rFonts w:hint="eastAsia" w:ascii="宋体" w:hAnsi="宋体"/>
          <w:sz w:val="21"/>
          <w:szCs w:val="21"/>
        </w:rPr>
      </w:pPr>
      <w:r>
        <w:rPr>
          <w:rFonts w:hint="eastAsia" w:ascii="宋体" w:hAnsi="宋体"/>
          <w:sz w:val="21"/>
          <w:szCs w:val="21"/>
        </w:rPr>
        <w:t>注:除上述六项主要指标外的其他水质指标，进水水质应符合国家城镇建设行业《污水排入城市下水道水质标准 除 CJ343—2010》 的规定。</w:t>
      </w:r>
    </w:p>
    <w:p>
      <w:pPr>
        <w:autoSpaceDE/>
        <w:autoSpaceDN/>
        <w:spacing w:line="360" w:lineRule="auto"/>
        <w:rPr>
          <w:rFonts w:hint="eastAsia" w:ascii="宋体" w:hAnsi="宋体"/>
          <w:sz w:val="21"/>
          <w:szCs w:val="21"/>
        </w:rPr>
      </w:pPr>
      <w:r>
        <w:rPr>
          <w:rFonts w:hint="eastAsia" w:ascii="宋体" w:hAnsi="宋体"/>
          <w:sz w:val="21"/>
          <w:szCs w:val="21"/>
        </w:rPr>
        <w:t>（2）出水标准</w:t>
      </w:r>
    </w:p>
    <w:p>
      <w:pPr>
        <w:autoSpaceDE/>
        <w:autoSpaceDN/>
        <w:spacing w:line="360" w:lineRule="auto"/>
        <w:rPr>
          <w:rFonts w:hint="eastAsia" w:ascii="宋体" w:hAnsi="宋体"/>
          <w:sz w:val="21"/>
          <w:szCs w:val="21"/>
        </w:rPr>
      </w:pPr>
      <w:r>
        <w:rPr>
          <w:rFonts w:hint="eastAsia" w:ascii="宋体" w:hAnsi="宋体"/>
          <w:sz w:val="21"/>
          <w:szCs w:val="21"/>
        </w:rPr>
        <w:t>出水水质应符合广东省《水污染物排放限值》（DB44/26-2001）第二时段一级和《城镇污水处理厂污染物排放标准》（GB18918- 2002）一级标准A标准的要求：</w:t>
      </w:r>
    </w:p>
    <w:tbl>
      <w:tblPr>
        <w:tblStyle w:val="10"/>
        <w:tblW w:w="7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6"/>
        <w:gridCol w:w="946"/>
        <w:gridCol w:w="946"/>
        <w:gridCol w:w="946"/>
        <w:gridCol w:w="946"/>
        <w:gridCol w:w="94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rPr>
            </w:pPr>
            <w:r>
              <w:rPr>
                <w:rFonts w:hint="eastAsia" w:ascii="宋体" w:hAnsi="宋体"/>
                <w:sz w:val="21"/>
                <w:szCs w:val="21"/>
                <w:lang w:val="en-US"/>
              </w:rPr>
              <w:t>名称</w:t>
            </w:r>
          </w:p>
        </w:tc>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BOD</w:t>
            </w:r>
            <w:r>
              <w:rPr>
                <w:rFonts w:hint="eastAsia" w:ascii="宋体" w:hAnsi="宋体"/>
                <w:sz w:val="21"/>
                <w:szCs w:val="21"/>
                <w:vertAlign w:val="subscript"/>
                <w:lang w:val="en-US"/>
              </w:rPr>
              <w:t>5</w:t>
            </w:r>
          </w:p>
          <w:p>
            <w:pPr>
              <w:widowControl/>
              <w:jc w:val="center"/>
              <w:rPr>
                <w:rFonts w:hint="eastAsia" w:ascii="宋体" w:hAnsi="宋体"/>
                <w:sz w:val="21"/>
                <w:szCs w:val="21"/>
                <w:lang w:val="en-US"/>
              </w:rPr>
            </w:pPr>
          </w:p>
        </w:tc>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COD</w:t>
            </w:r>
            <w:r>
              <w:rPr>
                <w:rFonts w:hint="eastAsia" w:ascii="宋体" w:hAnsi="宋体"/>
                <w:sz w:val="21"/>
                <w:szCs w:val="21"/>
                <w:vertAlign w:val="subscript"/>
                <w:lang w:val="en-US"/>
              </w:rPr>
              <w:t>C</w:t>
            </w:r>
            <w:r>
              <w:rPr>
                <w:rFonts w:ascii="宋体" w:hAnsi="宋体"/>
                <w:sz w:val="21"/>
                <w:szCs w:val="21"/>
                <w:vertAlign w:val="subscript"/>
                <w:lang w:val="en-US"/>
              </w:rPr>
              <w:t>r</w:t>
            </w:r>
          </w:p>
          <w:p>
            <w:pPr>
              <w:widowControl/>
              <w:jc w:val="center"/>
              <w:rPr>
                <w:rFonts w:hint="eastAsia" w:ascii="宋体" w:hAnsi="宋体"/>
                <w:sz w:val="21"/>
                <w:szCs w:val="21"/>
                <w:lang w:val="en-US"/>
              </w:rPr>
            </w:pPr>
          </w:p>
        </w:tc>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SS</w:t>
            </w:r>
          </w:p>
          <w:p>
            <w:pPr>
              <w:widowControl/>
              <w:jc w:val="center"/>
              <w:rPr>
                <w:rFonts w:hint="eastAsia" w:ascii="宋体" w:hAnsi="宋体"/>
                <w:sz w:val="21"/>
                <w:szCs w:val="21"/>
                <w:lang w:val="en-US"/>
              </w:rPr>
            </w:pPr>
          </w:p>
        </w:tc>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TN</w:t>
            </w:r>
          </w:p>
          <w:p>
            <w:pPr>
              <w:widowControl/>
              <w:jc w:val="center"/>
              <w:rPr>
                <w:rFonts w:hint="eastAsia" w:ascii="宋体" w:hAnsi="宋体"/>
                <w:sz w:val="21"/>
                <w:szCs w:val="21"/>
                <w:lang w:val="en-US"/>
              </w:rPr>
            </w:pPr>
          </w:p>
        </w:tc>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NH</w:t>
            </w:r>
            <w:r>
              <w:rPr>
                <w:rFonts w:hint="eastAsia" w:ascii="宋体" w:hAnsi="宋体"/>
                <w:sz w:val="21"/>
                <w:szCs w:val="21"/>
                <w:vertAlign w:val="subscript"/>
                <w:lang w:val="en-US"/>
              </w:rPr>
              <w:t>3</w:t>
            </w:r>
            <w:r>
              <w:rPr>
                <w:rFonts w:hint="eastAsia" w:ascii="宋体" w:hAnsi="宋体"/>
                <w:sz w:val="21"/>
                <w:szCs w:val="21"/>
                <w:lang w:val="en-US"/>
              </w:rPr>
              <w:t>-N</w:t>
            </w:r>
          </w:p>
          <w:p>
            <w:pPr>
              <w:widowControl/>
              <w:jc w:val="center"/>
              <w:rPr>
                <w:rFonts w:hint="eastAsia" w:ascii="宋体" w:hAnsi="宋体"/>
                <w:sz w:val="21"/>
                <w:szCs w:val="21"/>
                <w:lang w:val="en-US"/>
              </w:rPr>
            </w:pPr>
          </w:p>
        </w:tc>
        <w:tc>
          <w:tcPr>
            <w:tcW w:w="947"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TP</w:t>
            </w:r>
          </w:p>
          <w:p>
            <w:pPr>
              <w:widowControl/>
              <w:jc w:val="center"/>
              <w:rPr>
                <w:rFonts w:hint="eastAsia" w:ascii="宋体" w:hAnsi="宋体"/>
                <w:sz w:val="21"/>
                <w:szCs w:val="21"/>
                <w:lang w:val="en-US"/>
              </w:rPr>
            </w:pPr>
          </w:p>
        </w:tc>
        <w:tc>
          <w:tcPr>
            <w:tcW w:w="1184"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 xml:space="preserve">粪大肠菌群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出水水质</w:t>
            </w:r>
          </w:p>
          <w:p>
            <w:pPr>
              <w:widowControl/>
              <w:jc w:val="center"/>
              <w:rPr>
                <w:rFonts w:hint="eastAsia" w:ascii="宋体" w:hAnsi="宋体"/>
                <w:sz w:val="21"/>
                <w:szCs w:val="21"/>
                <w:lang w:val="en-US"/>
              </w:rPr>
            </w:pPr>
          </w:p>
        </w:tc>
        <w:tc>
          <w:tcPr>
            <w:tcW w:w="946" w:type="dxa"/>
            <w:noWrap w:val="0"/>
            <w:vAlign w:val="center"/>
          </w:tcPr>
          <w:p>
            <w:pPr>
              <w:widowControl/>
              <w:jc w:val="center"/>
              <w:rPr>
                <w:rFonts w:ascii="宋体" w:hAnsi="宋体"/>
                <w:sz w:val="21"/>
                <w:szCs w:val="21"/>
                <w:lang w:val="en-US"/>
              </w:rPr>
            </w:pPr>
            <w:r>
              <w:rPr>
                <w:rFonts w:hint="eastAsia" w:ascii="宋体" w:hAnsi="宋体"/>
                <w:sz w:val="21"/>
                <w:szCs w:val="21"/>
                <w:lang w:val="en-US"/>
              </w:rPr>
              <w:t>≤10</w:t>
            </w:r>
          </w:p>
          <w:p>
            <w:pPr>
              <w:widowControl/>
              <w:jc w:val="center"/>
              <w:rPr>
                <w:rFonts w:hint="eastAsia" w:ascii="宋体" w:hAnsi="宋体"/>
                <w:sz w:val="21"/>
                <w:szCs w:val="21"/>
                <w:lang w:val="en-US"/>
              </w:rPr>
            </w:pPr>
          </w:p>
        </w:tc>
        <w:tc>
          <w:tcPr>
            <w:tcW w:w="946" w:type="dxa"/>
            <w:noWrap w:val="0"/>
            <w:vAlign w:val="center"/>
          </w:tcPr>
          <w:p>
            <w:pPr>
              <w:widowControl/>
              <w:jc w:val="center"/>
              <w:rPr>
                <w:rFonts w:ascii="宋体" w:hAnsi="宋体"/>
                <w:sz w:val="21"/>
                <w:szCs w:val="21"/>
                <w:lang w:val="en-US"/>
              </w:rPr>
            </w:pPr>
            <w:r>
              <w:rPr>
                <w:rFonts w:hint="eastAsia" w:ascii="宋体" w:hAnsi="宋体"/>
                <w:sz w:val="21"/>
                <w:szCs w:val="21"/>
                <w:lang w:val="en-US"/>
              </w:rPr>
              <w:t>≤40</w:t>
            </w:r>
          </w:p>
          <w:p>
            <w:pPr>
              <w:widowControl/>
              <w:jc w:val="center"/>
              <w:rPr>
                <w:rFonts w:hint="eastAsia" w:ascii="宋体" w:hAnsi="宋体"/>
                <w:sz w:val="21"/>
                <w:szCs w:val="21"/>
                <w:lang w:val="en-US"/>
              </w:rPr>
            </w:pPr>
          </w:p>
        </w:tc>
        <w:tc>
          <w:tcPr>
            <w:tcW w:w="946" w:type="dxa"/>
            <w:noWrap w:val="0"/>
            <w:vAlign w:val="center"/>
          </w:tcPr>
          <w:p>
            <w:pPr>
              <w:widowControl/>
              <w:jc w:val="center"/>
              <w:rPr>
                <w:rFonts w:ascii="宋体" w:hAnsi="宋体"/>
                <w:sz w:val="21"/>
                <w:szCs w:val="21"/>
                <w:lang w:val="en-US"/>
              </w:rPr>
            </w:pPr>
            <w:r>
              <w:rPr>
                <w:rFonts w:hint="eastAsia" w:ascii="宋体" w:hAnsi="宋体"/>
                <w:sz w:val="21"/>
                <w:szCs w:val="21"/>
                <w:lang w:val="en-US"/>
              </w:rPr>
              <w:t>≤10</w:t>
            </w:r>
          </w:p>
          <w:p>
            <w:pPr>
              <w:widowControl/>
              <w:jc w:val="center"/>
              <w:rPr>
                <w:rFonts w:hint="eastAsia" w:ascii="宋体" w:hAnsi="宋体"/>
                <w:sz w:val="21"/>
                <w:szCs w:val="21"/>
                <w:lang w:val="en-US"/>
              </w:rPr>
            </w:pPr>
          </w:p>
        </w:tc>
        <w:tc>
          <w:tcPr>
            <w:tcW w:w="946" w:type="dxa"/>
            <w:noWrap w:val="0"/>
            <w:vAlign w:val="center"/>
          </w:tcPr>
          <w:p>
            <w:pPr>
              <w:widowControl/>
              <w:jc w:val="center"/>
              <w:rPr>
                <w:rFonts w:ascii="宋体" w:hAnsi="宋体"/>
                <w:sz w:val="21"/>
                <w:szCs w:val="21"/>
                <w:lang w:val="en-US"/>
              </w:rPr>
            </w:pPr>
            <w:r>
              <w:rPr>
                <w:rFonts w:hint="eastAsia" w:ascii="宋体" w:hAnsi="宋体"/>
                <w:sz w:val="21"/>
                <w:szCs w:val="21"/>
                <w:lang w:val="en-US"/>
              </w:rPr>
              <w:t>≤15</w:t>
            </w:r>
          </w:p>
          <w:p>
            <w:pPr>
              <w:widowControl/>
              <w:jc w:val="center"/>
              <w:rPr>
                <w:rFonts w:hint="eastAsia" w:ascii="宋体" w:hAnsi="宋体"/>
                <w:sz w:val="21"/>
                <w:szCs w:val="21"/>
                <w:lang w:val="en-US"/>
              </w:rPr>
            </w:pPr>
          </w:p>
        </w:tc>
        <w:tc>
          <w:tcPr>
            <w:tcW w:w="946"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≤5</w:t>
            </w:r>
          </w:p>
          <w:p>
            <w:pPr>
              <w:widowControl/>
              <w:jc w:val="center"/>
              <w:rPr>
                <w:rFonts w:hint="eastAsia" w:ascii="宋体" w:hAnsi="宋体"/>
                <w:sz w:val="21"/>
                <w:szCs w:val="21"/>
                <w:lang w:val="en-US"/>
              </w:rPr>
            </w:pPr>
          </w:p>
        </w:tc>
        <w:tc>
          <w:tcPr>
            <w:tcW w:w="947"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≤0.5</w:t>
            </w:r>
          </w:p>
          <w:p>
            <w:pPr>
              <w:widowControl/>
              <w:jc w:val="center"/>
              <w:rPr>
                <w:rFonts w:hint="eastAsia" w:ascii="宋体" w:hAnsi="宋体"/>
                <w:sz w:val="21"/>
                <w:szCs w:val="21"/>
                <w:lang w:val="en-US"/>
              </w:rPr>
            </w:pPr>
          </w:p>
        </w:tc>
        <w:tc>
          <w:tcPr>
            <w:tcW w:w="1184" w:type="dxa"/>
            <w:noWrap w:val="0"/>
            <w:vAlign w:val="center"/>
          </w:tcPr>
          <w:p>
            <w:pPr>
              <w:widowControl/>
              <w:jc w:val="center"/>
              <w:rPr>
                <w:rFonts w:hint="eastAsia" w:ascii="宋体" w:hAnsi="宋体"/>
                <w:sz w:val="21"/>
                <w:szCs w:val="21"/>
                <w:lang w:val="en-US"/>
              </w:rPr>
            </w:pPr>
            <w:r>
              <w:rPr>
                <w:rFonts w:hint="eastAsia" w:ascii="宋体" w:hAnsi="宋体"/>
                <w:sz w:val="21"/>
                <w:szCs w:val="21"/>
                <w:lang w:val="en-US"/>
              </w:rPr>
              <w:t>≤10</w:t>
            </w:r>
            <w:r>
              <w:rPr>
                <w:rFonts w:hint="eastAsia" w:ascii="宋体" w:hAnsi="宋体"/>
                <w:sz w:val="21"/>
                <w:szCs w:val="21"/>
                <w:vertAlign w:val="superscript"/>
                <w:lang w:val="en-US"/>
              </w:rPr>
              <w:t>3</w:t>
            </w:r>
            <w:r>
              <w:rPr>
                <w:rFonts w:hint="eastAsia" w:ascii="宋体" w:hAnsi="宋体"/>
                <w:sz w:val="21"/>
                <w:szCs w:val="21"/>
                <w:lang w:val="en-US"/>
              </w:rPr>
              <w:t>个/L</w:t>
            </w:r>
          </w:p>
          <w:p>
            <w:pPr>
              <w:widowControl/>
              <w:jc w:val="center"/>
              <w:rPr>
                <w:rFonts w:hint="eastAsia" w:ascii="宋体" w:hAnsi="宋体"/>
                <w:sz w:val="21"/>
                <w:szCs w:val="21"/>
                <w:lang w:val="en-US"/>
              </w:rPr>
            </w:pPr>
          </w:p>
        </w:tc>
      </w:tr>
    </w:tbl>
    <w:p>
      <w:pPr>
        <w:rPr>
          <w:rFonts w:hint="eastAsia"/>
        </w:rPr>
      </w:pPr>
    </w:p>
    <w:p>
      <w:pPr>
        <w:autoSpaceDE/>
        <w:autoSpaceDN/>
        <w:spacing w:line="360" w:lineRule="auto"/>
        <w:rPr>
          <w:rFonts w:hint="eastAsia" w:ascii="宋体" w:hAnsi="宋体"/>
          <w:sz w:val="21"/>
          <w:szCs w:val="21"/>
        </w:rPr>
      </w:pPr>
      <w:r>
        <w:rPr>
          <w:rFonts w:hint="eastAsia" w:ascii="宋体" w:hAnsi="宋体"/>
          <w:sz w:val="21"/>
          <w:szCs w:val="21"/>
        </w:rPr>
        <w:t xml:space="preserve"> (三） 项目具体要求</w:t>
      </w:r>
    </w:p>
    <w:p>
      <w:pPr>
        <w:autoSpaceDE/>
        <w:autoSpaceDN/>
        <w:spacing w:line="360" w:lineRule="auto"/>
        <w:rPr>
          <w:rFonts w:hint="eastAsia" w:ascii="宋体" w:hAnsi="宋体"/>
          <w:sz w:val="21"/>
          <w:szCs w:val="21"/>
        </w:rPr>
      </w:pPr>
      <w:r>
        <w:rPr>
          <w:rFonts w:hint="eastAsia" w:ascii="宋体" w:hAnsi="宋体"/>
          <w:sz w:val="21"/>
          <w:szCs w:val="21"/>
        </w:rPr>
        <w:t>1.委托运营服务内容</w:t>
      </w:r>
    </w:p>
    <w:p>
      <w:pPr>
        <w:autoSpaceDE/>
        <w:autoSpaceDN/>
        <w:spacing w:line="360" w:lineRule="auto"/>
        <w:rPr>
          <w:rFonts w:hint="eastAsia" w:ascii="宋体" w:hAnsi="宋体"/>
          <w:sz w:val="21"/>
          <w:szCs w:val="21"/>
        </w:rPr>
      </w:pPr>
      <w:r>
        <w:rPr>
          <w:rFonts w:hint="eastAsia" w:ascii="宋体" w:hAnsi="宋体"/>
          <w:sz w:val="21"/>
          <w:szCs w:val="21"/>
        </w:rPr>
        <w:t>（1）运营服务单位应结合实际建立运行管理体系，编制《污水处理运行管理手册》，建立岗位责任、操作规程、运行巡检、安全生产、 设备维护、人员考核培训、信息记录和档案管理等规章制度。</w:t>
      </w:r>
    </w:p>
    <w:p>
      <w:pPr>
        <w:autoSpaceDE/>
        <w:autoSpaceDN/>
        <w:spacing w:line="360" w:lineRule="auto"/>
        <w:rPr>
          <w:rFonts w:hint="eastAsia" w:ascii="宋体" w:hAnsi="宋体"/>
          <w:sz w:val="21"/>
          <w:szCs w:val="21"/>
          <w:highlight w:val="none"/>
        </w:rPr>
      </w:pPr>
      <w:r>
        <w:rPr>
          <w:rFonts w:hint="eastAsia" w:ascii="宋体" w:hAnsi="宋体"/>
          <w:sz w:val="21"/>
          <w:szCs w:val="21"/>
        </w:rPr>
        <w:t>（2）严格按照《污水处理运行管理手册》要求完成污水处理，保证污水处理设施安全稳定运行，保证处理后出水达到相应的排放标准达 标排放，并按要求做好台帐填报及完成总量</w:t>
      </w:r>
      <w:r>
        <w:rPr>
          <w:rFonts w:hint="eastAsia" w:ascii="宋体" w:hAnsi="宋体"/>
          <w:sz w:val="21"/>
          <w:szCs w:val="21"/>
          <w:highlight w:val="none"/>
        </w:rPr>
        <w:t>减排任务。</w:t>
      </w:r>
    </w:p>
    <w:p>
      <w:pPr>
        <w:autoSpaceDE/>
        <w:autoSpaceDN/>
        <w:spacing w:line="360" w:lineRule="auto"/>
        <w:rPr>
          <w:rFonts w:hint="eastAsia" w:ascii="宋体" w:hAnsi="宋体"/>
          <w:sz w:val="21"/>
          <w:szCs w:val="21"/>
          <w:highlight w:val="none"/>
        </w:rPr>
      </w:pPr>
      <w:r>
        <w:rPr>
          <w:rFonts w:hint="eastAsia" w:ascii="宋体" w:hAnsi="宋体"/>
          <w:sz w:val="21"/>
          <w:szCs w:val="21"/>
          <w:highlight w:val="none"/>
        </w:rPr>
        <w:t>（3）按照运行管理手册完成污泥处理，泥质指标应符合相关标准及污泥接收单位的要求。</w:t>
      </w:r>
    </w:p>
    <w:p>
      <w:pPr>
        <w:autoSpaceDE/>
        <w:autoSpaceDN/>
        <w:spacing w:line="360" w:lineRule="auto"/>
        <w:rPr>
          <w:rFonts w:hint="eastAsia" w:ascii="宋体" w:hAnsi="宋体"/>
          <w:color w:val="auto"/>
          <w:sz w:val="21"/>
          <w:szCs w:val="21"/>
          <w:highlight w:val="none"/>
        </w:rPr>
      </w:pPr>
      <w:r>
        <w:rPr>
          <w:rFonts w:hint="eastAsia" w:ascii="宋体" w:hAnsi="宋体"/>
          <w:sz w:val="21"/>
          <w:szCs w:val="21"/>
          <w:highlight w:val="none"/>
        </w:rPr>
        <w:t>（4）按照运行管理手册开展设备管理工作，开展设备设施维护保养及更新改造，确保污水</w:t>
      </w:r>
      <w:r>
        <w:rPr>
          <w:rFonts w:hint="eastAsia" w:ascii="宋体" w:hAnsi="宋体"/>
          <w:color w:val="auto"/>
          <w:sz w:val="21"/>
          <w:szCs w:val="21"/>
          <w:highlight w:val="none"/>
        </w:rPr>
        <w:t>处理设备正常运行。</w:t>
      </w:r>
    </w:p>
    <w:p>
      <w:pPr>
        <w:autoSpaceDE/>
        <w:autoSpaceDN/>
        <w:spacing w:line="360" w:lineRule="auto"/>
        <w:rPr>
          <w:rFonts w:hint="eastAsia" w:ascii="宋体" w:hAnsi="宋体"/>
          <w:color w:val="auto"/>
          <w:sz w:val="21"/>
          <w:szCs w:val="21"/>
          <w:highlight w:val="none"/>
        </w:rPr>
      </w:pPr>
      <w:r>
        <w:rPr>
          <w:rFonts w:hint="eastAsia" w:ascii="宋体" w:hAnsi="宋体"/>
          <w:color w:val="auto"/>
          <w:sz w:val="21"/>
          <w:szCs w:val="21"/>
          <w:highlight w:val="none"/>
        </w:rPr>
        <w:t>（5）负责厂区构筑物的日常维护</w:t>
      </w:r>
    </w:p>
    <w:p>
      <w:pPr>
        <w:autoSpaceDE/>
        <w:autoSpaceDN/>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rPr>
        <w:t>6</w:t>
      </w:r>
      <w:r>
        <w:rPr>
          <w:rFonts w:hint="eastAsia" w:ascii="宋体" w:hAnsi="宋体"/>
          <w:color w:val="auto"/>
          <w:sz w:val="21"/>
          <w:szCs w:val="21"/>
          <w:highlight w:val="none"/>
        </w:rPr>
        <w:t>）负责厂区及泵站围墙内生产管道维护维修，含污水管道、污泥管道、空气管道。</w:t>
      </w:r>
    </w:p>
    <w:p>
      <w:pPr>
        <w:autoSpaceDE/>
        <w:autoSpaceDN/>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rPr>
        <w:t>7</w:t>
      </w:r>
      <w:r>
        <w:rPr>
          <w:rFonts w:hint="eastAsia" w:ascii="宋体" w:hAnsi="宋体"/>
          <w:color w:val="auto"/>
          <w:sz w:val="21"/>
          <w:szCs w:val="21"/>
          <w:highlight w:val="none"/>
        </w:rPr>
        <w:t>）负责更换单个设备更新中介预算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万元及以下的项目。</w:t>
      </w:r>
    </w:p>
    <w:p>
      <w:pPr>
        <w:autoSpaceDE/>
        <w:autoSpaceDN/>
        <w:spacing w:line="360" w:lineRule="auto"/>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rPr>
        <w:t>8</w:t>
      </w:r>
      <w:r>
        <w:rPr>
          <w:rFonts w:hint="eastAsia" w:ascii="宋体" w:hAnsi="宋体"/>
          <w:sz w:val="21"/>
          <w:szCs w:val="21"/>
          <w:highlight w:val="none"/>
        </w:rPr>
        <w:t>）配合采购人开展各项迎检查工作及资料报送。</w:t>
      </w:r>
    </w:p>
    <w:p>
      <w:pPr>
        <w:autoSpaceDE/>
        <w:autoSpaceDN/>
        <w:spacing w:line="360" w:lineRule="auto"/>
        <w:rPr>
          <w:rFonts w:hint="eastAsia" w:ascii="宋体" w:hAnsi="宋体"/>
          <w:sz w:val="21"/>
          <w:szCs w:val="21"/>
        </w:rPr>
      </w:pPr>
      <w:r>
        <w:rPr>
          <w:rFonts w:hint="eastAsia" w:ascii="宋体" w:hAnsi="宋体"/>
          <w:sz w:val="21"/>
          <w:szCs w:val="21"/>
        </w:rPr>
        <w:t>（</w:t>
      </w:r>
      <w:r>
        <w:rPr>
          <w:rFonts w:hint="eastAsia" w:ascii="宋体" w:hAnsi="宋体"/>
          <w:sz w:val="21"/>
          <w:szCs w:val="21"/>
          <w:lang w:val="en-US"/>
        </w:rPr>
        <w:t>9</w:t>
      </w:r>
      <w:r>
        <w:rPr>
          <w:rFonts w:hint="eastAsia" w:ascii="宋体" w:hAnsi="宋体"/>
          <w:sz w:val="21"/>
          <w:szCs w:val="21"/>
        </w:rPr>
        <w:t>）严格执行有关环境保护法律法规、规章制度。</w:t>
      </w:r>
    </w:p>
    <w:p>
      <w:pPr>
        <w:autoSpaceDE/>
        <w:autoSpaceDN/>
        <w:spacing w:line="36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rPr>
        <w:t>0</w:t>
      </w:r>
      <w:r>
        <w:rPr>
          <w:rFonts w:hint="eastAsia" w:ascii="宋体" w:hAnsi="宋体"/>
          <w:sz w:val="21"/>
          <w:szCs w:val="21"/>
        </w:rPr>
        <w:t>）由于运营单位的原因造成污水排放不达标或未完成污水厂责任范围内的减排工作造成减排任务完成不达标，由运营单位承担违约责任及由此引起的一切经济损失及其它连带责任；</w:t>
      </w:r>
    </w:p>
    <w:p>
      <w:pPr>
        <w:autoSpaceDE/>
        <w:autoSpaceDN/>
        <w:spacing w:line="360" w:lineRule="auto"/>
        <w:rPr>
          <w:rFonts w:hint="eastAsia" w:ascii="宋体" w:hAnsi="宋体"/>
          <w:sz w:val="21"/>
          <w:szCs w:val="21"/>
        </w:rPr>
      </w:pPr>
      <w:r>
        <w:rPr>
          <w:rFonts w:hint="eastAsia" w:ascii="宋体" w:hAnsi="宋体"/>
          <w:sz w:val="21"/>
          <w:szCs w:val="21"/>
        </w:rPr>
        <w:t>（</w:t>
      </w:r>
      <w:r>
        <w:rPr>
          <w:rFonts w:hint="eastAsia" w:ascii="宋体" w:hAnsi="宋体"/>
          <w:sz w:val="21"/>
          <w:szCs w:val="21"/>
          <w:lang w:val="en-US"/>
        </w:rPr>
        <w:t>11</w:t>
      </w:r>
      <w:r>
        <w:rPr>
          <w:rFonts w:hint="eastAsia" w:ascii="宋体" w:hAnsi="宋体"/>
          <w:sz w:val="21"/>
          <w:szCs w:val="21"/>
        </w:rPr>
        <w:t>）如本项目的中标人不是原运营单位，新的运营单位可根据实际情况，按自愿原则择优聘用现有愿意留在污水厂工作的员工。聘用合同须交采购人备案。</w:t>
      </w:r>
    </w:p>
    <w:p>
      <w:pPr>
        <w:autoSpaceDE/>
        <w:autoSpaceDN/>
        <w:spacing w:line="360" w:lineRule="auto"/>
        <w:rPr>
          <w:rFonts w:hint="eastAsia" w:ascii="宋体" w:hAnsi="宋体"/>
          <w:sz w:val="21"/>
          <w:szCs w:val="21"/>
        </w:rPr>
      </w:pPr>
      <w:r>
        <w:rPr>
          <w:rFonts w:hint="eastAsia" w:ascii="宋体" w:hAnsi="宋体"/>
          <w:sz w:val="21"/>
          <w:szCs w:val="21"/>
          <w:lang w:val="en-US"/>
        </w:rPr>
        <w:t>（12）由于采购人近期对污水厂进行1万立方米/日的扩建，若扩建工程在本项目期内完工验收，则中标人有对其优先运营权。</w:t>
      </w:r>
    </w:p>
    <w:p>
      <w:pPr>
        <w:autoSpaceDE/>
        <w:autoSpaceDN/>
        <w:spacing w:line="360" w:lineRule="auto"/>
        <w:rPr>
          <w:rFonts w:hint="eastAsia" w:ascii="宋体" w:hAnsi="宋体"/>
          <w:sz w:val="21"/>
          <w:szCs w:val="21"/>
        </w:rPr>
      </w:pPr>
      <w:r>
        <w:rPr>
          <w:rFonts w:hint="eastAsia" w:ascii="宋体" w:hAnsi="宋体"/>
          <w:sz w:val="21"/>
          <w:szCs w:val="21"/>
          <w:lang w:val="en-US"/>
        </w:rPr>
        <w:t xml:space="preserve">2.维修主体责任界定 </w:t>
      </w:r>
    </w:p>
    <w:p>
      <w:pPr>
        <w:autoSpaceDE/>
        <w:autoSpaceDN/>
        <w:spacing w:line="360" w:lineRule="auto"/>
        <w:ind w:firstLine="420" w:firstLineChars="200"/>
        <w:rPr>
          <w:rFonts w:hint="eastAsia" w:ascii="宋体" w:hAnsi="宋体"/>
          <w:sz w:val="21"/>
          <w:szCs w:val="21"/>
        </w:rPr>
      </w:pPr>
      <w:r>
        <w:rPr>
          <w:rFonts w:hint="eastAsia" w:ascii="宋体" w:hAnsi="宋体"/>
          <w:sz w:val="21"/>
          <w:szCs w:val="21"/>
          <w:lang w:val="en-US"/>
        </w:rPr>
        <w:t xml:space="preserve">在委托运营期内，维修责任按以下方式进行界定： </w:t>
      </w:r>
    </w:p>
    <w:p>
      <w:pPr>
        <w:autoSpaceDE/>
        <w:autoSpaceDN/>
        <w:spacing w:line="360" w:lineRule="auto"/>
        <w:rPr>
          <w:rFonts w:hint="eastAsia" w:ascii="宋体" w:hAnsi="宋体"/>
          <w:sz w:val="21"/>
          <w:szCs w:val="21"/>
        </w:rPr>
      </w:pPr>
      <w:r>
        <w:rPr>
          <w:rFonts w:hint="eastAsia" w:ascii="宋体" w:hAnsi="宋体"/>
          <w:sz w:val="21"/>
          <w:szCs w:val="21"/>
          <w:lang w:val="en-US"/>
        </w:rPr>
        <w:t xml:space="preserve">（1）在质保范围内的，由采购人要求原施工单位进行整改。 </w:t>
      </w:r>
    </w:p>
    <w:p>
      <w:pPr>
        <w:autoSpaceDE/>
        <w:autoSpaceDN/>
        <w:spacing w:line="360" w:lineRule="auto"/>
        <w:rPr>
          <w:rFonts w:hint="eastAsia" w:ascii="宋体" w:hAnsi="宋体"/>
          <w:sz w:val="21"/>
          <w:szCs w:val="21"/>
        </w:rPr>
      </w:pPr>
      <w:r>
        <w:rPr>
          <w:rFonts w:hint="eastAsia" w:ascii="宋体" w:hAnsi="宋体"/>
          <w:sz w:val="21"/>
          <w:szCs w:val="21"/>
          <w:lang w:val="en-US"/>
        </w:rPr>
        <w:t xml:space="preserve">（2）在质保范围外的，由中标单位负责维修。 </w:t>
      </w:r>
    </w:p>
    <w:p>
      <w:pPr>
        <w:autoSpaceDE/>
        <w:autoSpaceDN/>
        <w:spacing w:line="360" w:lineRule="auto"/>
        <w:rPr>
          <w:rFonts w:hint="eastAsia" w:ascii="宋体" w:hAnsi="宋体"/>
          <w:sz w:val="21"/>
          <w:szCs w:val="21"/>
        </w:rPr>
      </w:pPr>
      <w:r>
        <w:rPr>
          <w:rFonts w:hint="eastAsia" w:ascii="宋体" w:hAnsi="宋体"/>
          <w:sz w:val="21"/>
          <w:szCs w:val="21"/>
          <w:lang w:val="en-US"/>
        </w:rPr>
        <w:t xml:space="preserve">3.项目人员配备 </w:t>
      </w:r>
    </w:p>
    <w:p>
      <w:pPr>
        <w:autoSpaceDE/>
        <w:autoSpaceDN/>
        <w:spacing w:line="360" w:lineRule="auto"/>
        <w:ind w:firstLine="420" w:firstLineChars="200"/>
        <w:rPr>
          <w:rFonts w:hint="eastAsia" w:ascii="宋体" w:hAnsi="宋体"/>
          <w:sz w:val="21"/>
          <w:szCs w:val="21"/>
          <w:lang w:val="en-US"/>
        </w:rPr>
      </w:pPr>
      <w:r>
        <w:rPr>
          <w:rFonts w:hint="eastAsia" w:ascii="宋体" w:hAnsi="宋体"/>
          <w:sz w:val="21"/>
          <w:szCs w:val="21"/>
          <w:lang w:val="en-US"/>
        </w:rPr>
        <w:t xml:space="preserve">投标人按下表进行人员配置，保证投入的人员能满足本项目的需要。且投入本项目的人员必须专职于本项目不得再任职于其他公司或其他项目，同一人员不得兼任本项目的两个或多个岗位，人员如需变更须书面报采购人同意后才能变更，变更的人员资历等级不得低于原有人员资历水平。 </w:t>
      </w:r>
    </w:p>
    <w:p>
      <w:pPr>
        <w:autoSpaceDE/>
        <w:autoSpaceDN/>
        <w:spacing w:line="360" w:lineRule="auto"/>
        <w:ind w:firstLine="420" w:firstLineChars="200"/>
        <w:jc w:val="center"/>
        <w:rPr>
          <w:rFonts w:hint="eastAsia" w:ascii="宋体" w:hAnsi="宋体"/>
          <w:sz w:val="21"/>
          <w:szCs w:val="21"/>
          <w:lang w:val="en-US"/>
        </w:rPr>
      </w:pPr>
      <w:r>
        <w:rPr>
          <w:rFonts w:hint="eastAsia" w:ascii="宋体" w:hAnsi="宋体"/>
          <w:sz w:val="21"/>
          <w:szCs w:val="21"/>
          <w:lang w:val="en-US"/>
        </w:rPr>
        <w:t>项目人员配备要求</w:t>
      </w:r>
    </w:p>
    <w:tbl>
      <w:tblPr>
        <w:tblStyle w:val="10"/>
        <w:tblpPr w:leftFromText="180" w:rightFromText="180" w:vertAnchor="text" w:horzAnchor="page" w:tblpX="1741" w:tblpY="240"/>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485"/>
        <w:gridCol w:w="1395"/>
        <w:gridCol w:w="675"/>
        <w:gridCol w:w="223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序号</w:t>
            </w:r>
          </w:p>
        </w:tc>
        <w:tc>
          <w:tcPr>
            <w:tcW w:w="14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人员类别 </w:t>
            </w:r>
          </w:p>
        </w:tc>
        <w:tc>
          <w:tcPr>
            <w:tcW w:w="13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人员名称</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人数</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职称/资格 </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48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项目管理人员</w:t>
            </w:r>
          </w:p>
        </w:tc>
        <w:tc>
          <w:tcPr>
            <w:tcW w:w="1395"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项目负责人</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中级职称或以上</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环境工程或给排水专业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485" w:type="dxa"/>
            <w:vMerge w:val="continue"/>
            <w:noWrap w:val="0"/>
            <w:vAlign w:val="top"/>
          </w:tcPr>
          <w:p>
            <w:pPr>
              <w:pStyle w:val="5"/>
              <w:rPr>
                <w:rFonts w:hint="eastAsia" w:ascii="宋体" w:hAnsi="宋体"/>
                <w:b w:val="0"/>
                <w:bCs w:val="0"/>
                <w:sz w:val="21"/>
                <w:szCs w:val="21"/>
                <w:lang w:val="en-US"/>
              </w:rPr>
            </w:pPr>
          </w:p>
        </w:tc>
        <w:tc>
          <w:tcPr>
            <w:tcW w:w="1395" w:type="dxa"/>
            <w:noWrap w:val="0"/>
            <w:vAlign w:val="center"/>
          </w:tcPr>
          <w:p>
            <w:pPr>
              <w:widowControl/>
              <w:jc w:val="center"/>
              <w:rPr>
                <w:rFonts w:hint="eastAsia" w:ascii="宋体" w:hAnsi="宋体"/>
                <w:sz w:val="21"/>
                <w:szCs w:val="21"/>
                <w:lang w:val="en-US"/>
              </w:rPr>
            </w:pPr>
            <w:r>
              <w:rPr>
                <w:rFonts w:hint="eastAsia" w:ascii="宋体" w:hAnsi="宋体"/>
                <w:kern w:val="2"/>
                <w:sz w:val="21"/>
                <w:szCs w:val="21"/>
                <w:lang w:val="en-US" w:bidi="ar-SA"/>
              </w:rPr>
              <w:t>技术负责人</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初级职称或以上</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环境工程或给排水专业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2880" w:type="dxa"/>
            <w:gridSpan w:val="2"/>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运营人员 </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职业资格证或培训证 </w:t>
            </w:r>
          </w:p>
        </w:tc>
        <w:tc>
          <w:tcPr>
            <w:tcW w:w="2370"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2880" w:type="dxa"/>
            <w:gridSpan w:val="2"/>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维修员</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职业资格证或培训证 </w:t>
            </w:r>
          </w:p>
        </w:tc>
        <w:tc>
          <w:tcPr>
            <w:tcW w:w="2370"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w:t>
            </w:r>
          </w:p>
        </w:tc>
        <w:tc>
          <w:tcPr>
            <w:tcW w:w="2880" w:type="dxa"/>
            <w:gridSpan w:val="2"/>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化验员</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职业资格证或培训证 </w:t>
            </w:r>
          </w:p>
        </w:tc>
        <w:tc>
          <w:tcPr>
            <w:tcW w:w="2370"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w:t>
            </w:r>
          </w:p>
        </w:tc>
        <w:tc>
          <w:tcPr>
            <w:tcW w:w="2880" w:type="dxa"/>
            <w:gridSpan w:val="2"/>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自控检测员</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职业资格证或培训证 </w:t>
            </w:r>
          </w:p>
        </w:tc>
        <w:tc>
          <w:tcPr>
            <w:tcW w:w="2370"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7</w:t>
            </w:r>
          </w:p>
        </w:tc>
        <w:tc>
          <w:tcPr>
            <w:tcW w:w="2880" w:type="dxa"/>
            <w:gridSpan w:val="2"/>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安全员</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22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职业资格证或培训证 </w:t>
            </w:r>
          </w:p>
        </w:tc>
        <w:tc>
          <w:tcPr>
            <w:tcW w:w="2370"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520" w:type="dxa"/>
            <w:gridSpan w:val="3"/>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总计</w:t>
            </w:r>
          </w:p>
        </w:tc>
        <w:tc>
          <w:tcPr>
            <w:tcW w:w="67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18</w:t>
            </w:r>
          </w:p>
        </w:tc>
        <w:tc>
          <w:tcPr>
            <w:tcW w:w="2235" w:type="dxa"/>
            <w:noWrap w:val="0"/>
            <w:vAlign w:val="top"/>
          </w:tcPr>
          <w:p>
            <w:pPr>
              <w:pStyle w:val="5"/>
              <w:rPr>
                <w:rFonts w:hint="eastAsia" w:ascii="宋体" w:hAnsi="宋体"/>
                <w:b w:val="0"/>
                <w:bCs w:val="0"/>
                <w:sz w:val="21"/>
                <w:szCs w:val="21"/>
                <w:lang w:val="en-US"/>
              </w:rPr>
            </w:pPr>
          </w:p>
        </w:tc>
        <w:tc>
          <w:tcPr>
            <w:tcW w:w="2370"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备注：人员专业以毕业证或职称或资格证或培训证或上岗证为准。</w:t>
            </w:r>
          </w:p>
        </w:tc>
      </w:tr>
    </w:tbl>
    <w:p>
      <w:pPr>
        <w:autoSpaceDE/>
        <w:autoSpaceDN/>
        <w:spacing w:line="360" w:lineRule="auto"/>
        <w:rPr>
          <w:rFonts w:hint="eastAsia" w:ascii="宋体" w:hAnsi="宋体"/>
          <w:color w:val="auto"/>
          <w:sz w:val="21"/>
          <w:szCs w:val="21"/>
          <w:highlight w:val="none"/>
          <w:lang w:val="en-US"/>
        </w:rPr>
      </w:pPr>
      <w:r>
        <w:rPr>
          <w:rFonts w:hint="eastAsia" w:ascii="宋体" w:hAnsi="宋体"/>
          <w:sz w:val="21"/>
          <w:szCs w:val="21"/>
          <w:lang w:val="en-US"/>
        </w:rPr>
        <w:t>（四）</w:t>
      </w:r>
      <w:r>
        <w:rPr>
          <w:rFonts w:hint="eastAsia" w:ascii="宋体" w:hAnsi="宋体"/>
          <w:color w:val="auto"/>
          <w:sz w:val="21"/>
          <w:szCs w:val="21"/>
          <w:highlight w:val="none"/>
          <w:lang w:val="en-US"/>
        </w:rPr>
        <w:t>报价说明</w:t>
      </w:r>
    </w:p>
    <w:p>
      <w:pPr>
        <w:autoSpaceDE/>
        <w:autoSpaceDN/>
        <w:spacing w:line="360" w:lineRule="auto"/>
        <w:rPr>
          <w:rFonts w:hint="eastAsia" w:ascii="宋体" w:hAnsi="宋体"/>
          <w:b/>
          <w:bCs/>
          <w:color w:val="auto"/>
          <w:sz w:val="21"/>
          <w:szCs w:val="21"/>
          <w:highlight w:val="none"/>
          <w:lang w:val="en-US"/>
        </w:rPr>
      </w:pPr>
      <w:r>
        <w:rPr>
          <w:rFonts w:hint="eastAsia" w:ascii="宋体" w:hAnsi="宋体"/>
          <w:b/>
          <w:bCs/>
          <w:color w:val="auto"/>
          <w:sz w:val="21"/>
          <w:szCs w:val="21"/>
          <w:highlight w:val="none"/>
          <w:lang w:val="en-US"/>
        </w:rPr>
        <w:t>★1.本项目采用单价报价，投标上限价为</w:t>
      </w:r>
      <w:r>
        <w:rPr>
          <w:rFonts w:hint="eastAsia" w:ascii="宋体" w:hAnsi="宋体"/>
          <w:b/>
          <w:bCs/>
          <w:color w:val="auto"/>
          <w:sz w:val="21"/>
          <w:szCs w:val="21"/>
          <w:highlight w:val="none"/>
          <w:u w:val="single"/>
          <w:lang w:val="en-US"/>
        </w:rPr>
        <w:t xml:space="preserve"> 0.9</w:t>
      </w:r>
      <w:r>
        <w:rPr>
          <w:rFonts w:ascii="宋体" w:hAnsi="宋体"/>
          <w:b/>
          <w:bCs/>
          <w:color w:val="auto"/>
          <w:sz w:val="21"/>
          <w:szCs w:val="21"/>
          <w:highlight w:val="none"/>
          <w:u w:val="single"/>
          <w:lang w:val="en-US"/>
        </w:rPr>
        <w:t>3</w:t>
      </w:r>
      <w:r>
        <w:rPr>
          <w:rFonts w:hint="eastAsia" w:ascii="宋体" w:hAnsi="宋体"/>
          <w:b/>
          <w:bCs/>
          <w:color w:val="auto"/>
          <w:sz w:val="21"/>
          <w:szCs w:val="21"/>
          <w:highlight w:val="none"/>
          <w:u w:val="single"/>
          <w:lang w:val="en-US"/>
        </w:rPr>
        <w:t xml:space="preserve"> </w:t>
      </w:r>
      <w:r>
        <w:rPr>
          <w:rFonts w:hint="eastAsia" w:ascii="宋体" w:hAnsi="宋体"/>
          <w:b/>
          <w:bCs/>
          <w:color w:val="auto"/>
          <w:sz w:val="21"/>
          <w:szCs w:val="21"/>
          <w:highlight w:val="none"/>
          <w:lang w:val="en-US"/>
        </w:rPr>
        <w:t>元/吨水，超过上限价的按无效投标处理。</w:t>
      </w:r>
    </w:p>
    <w:p>
      <w:pPr>
        <w:autoSpaceDE/>
        <w:autoSpaceDN/>
        <w:spacing w:line="360" w:lineRule="auto"/>
        <w:rPr>
          <w:rFonts w:hint="eastAsia" w:ascii="宋体" w:hAnsi="宋体"/>
          <w:sz w:val="21"/>
          <w:szCs w:val="21"/>
          <w:lang w:val="en-US"/>
        </w:rPr>
      </w:pPr>
      <w:r>
        <w:rPr>
          <w:rFonts w:hint="eastAsia" w:ascii="宋体" w:hAnsi="宋体"/>
          <w:color w:val="auto"/>
          <w:kern w:val="2"/>
          <w:sz w:val="21"/>
          <w:szCs w:val="21"/>
          <w:highlight w:val="none"/>
          <w:lang w:val="en-US" w:bidi="ar-SA"/>
        </w:rPr>
        <w:t>2.投标人应充分考虑风险进行报价，报价为完成本项目所需的全部费用，除非项目有所增加，否则投标人无权另向采购人收费。报价包括但不限于：人工费、污泥处置费、药剂费</w:t>
      </w:r>
      <w:r>
        <w:rPr>
          <w:rFonts w:hint="eastAsia" w:ascii="宋体" w:hAnsi="宋体"/>
          <w:kern w:val="2"/>
          <w:sz w:val="21"/>
          <w:szCs w:val="21"/>
          <w:lang w:val="en-US" w:bidi="ar-SA"/>
        </w:rPr>
        <w:t>、电费（只含大涌污水处理厂）、在线监控设备维修维护费、环境监测费用、废液转移处置费、年审费、高压维护费、上级环保部门最新提出相关审核要求时所产生的费用、厂区</w:t>
      </w:r>
      <w:r>
        <w:rPr>
          <w:rFonts w:hint="eastAsia" w:ascii="宋体" w:hAnsi="宋体"/>
          <w:sz w:val="21"/>
          <w:szCs w:val="21"/>
          <w:lang w:val="en-US"/>
        </w:rPr>
        <w:t>内绿化维护管理费、水费、日常办公及管理费、承包单位运营期间所有大小设备维修更换产生的费用、土建维修费用、厂区及泵站围墙内生产管道（含污水管道、污泥管道、空气管道）维护维修费、单个设备更新中介预算2万元及以下的项目、税费等。</w:t>
      </w:r>
    </w:p>
    <w:p>
      <w:pPr>
        <w:autoSpaceDE/>
        <w:autoSpaceDN/>
        <w:spacing w:line="360" w:lineRule="auto"/>
        <w:rPr>
          <w:rFonts w:hint="eastAsia" w:ascii="宋体" w:hAnsi="宋体"/>
          <w:sz w:val="21"/>
          <w:szCs w:val="21"/>
          <w:lang w:val="en-US"/>
        </w:rPr>
      </w:pPr>
      <w:r>
        <w:rPr>
          <w:rFonts w:hint="eastAsia" w:ascii="宋体" w:hAnsi="宋体"/>
          <w:sz w:val="21"/>
          <w:szCs w:val="21"/>
          <w:lang w:val="en-US"/>
        </w:rPr>
        <w:t>3.污水处理厂单个设备更新中介预算2万元以上的项目由中标人提出维修方案报采购人批准后实施。但单项工程费用达到依法必须进行公开招标限额标准的工程项目不纳入本项目范围。</w:t>
      </w:r>
    </w:p>
    <w:p>
      <w:pPr>
        <w:autoSpaceDE/>
        <w:autoSpaceDN/>
        <w:spacing w:line="360" w:lineRule="auto"/>
        <w:rPr>
          <w:rFonts w:hint="eastAsia" w:ascii="宋体" w:hAnsi="宋体"/>
          <w:sz w:val="21"/>
          <w:szCs w:val="21"/>
          <w:lang w:val="en-US"/>
        </w:rPr>
      </w:pPr>
      <w:r>
        <w:rPr>
          <w:rFonts w:hint="eastAsia" w:ascii="宋体" w:hAnsi="宋体"/>
          <w:sz w:val="21"/>
          <w:szCs w:val="21"/>
          <w:lang w:val="en-US"/>
        </w:rPr>
        <w:t>（五）质量评价与考核</w:t>
      </w:r>
    </w:p>
    <w:p>
      <w:pPr>
        <w:autoSpaceDE/>
        <w:autoSpaceDN/>
        <w:spacing w:line="360" w:lineRule="auto"/>
        <w:rPr>
          <w:rFonts w:hint="eastAsia" w:ascii="宋体" w:hAnsi="宋体"/>
          <w:sz w:val="21"/>
          <w:szCs w:val="21"/>
          <w:lang w:val="en-US"/>
        </w:rPr>
      </w:pPr>
      <w:r>
        <w:rPr>
          <w:rFonts w:hint="eastAsia" w:ascii="宋体" w:hAnsi="宋体"/>
          <w:sz w:val="21"/>
          <w:szCs w:val="21"/>
          <w:lang w:val="en-US"/>
        </w:rPr>
        <w:t>1.污水处理厂设施服务质量评价</w:t>
      </w:r>
    </w:p>
    <w:p>
      <w:pPr>
        <w:autoSpaceDE/>
        <w:autoSpaceDN/>
        <w:spacing w:line="360" w:lineRule="auto"/>
        <w:rPr>
          <w:rFonts w:hint="eastAsia" w:ascii="宋体" w:hAnsi="宋体"/>
          <w:sz w:val="21"/>
          <w:szCs w:val="21"/>
          <w:lang w:val="en-US"/>
        </w:rPr>
      </w:pPr>
      <w:r>
        <w:rPr>
          <w:rFonts w:hint="eastAsia" w:ascii="宋体" w:hAnsi="宋体"/>
          <w:sz w:val="21"/>
          <w:szCs w:val="21"/>
          <w:lang w:val="en-US"/>
        </w:rPr>
        <w:t>（1）运营企业应认真做好污水处理厂运营管理工作，经处理后出水、废气的排放、污泥的处理处置、噪声的控制圴应符合相应执行标准 达标排放。</w:t>
      </w:r>
    </w:p>
    <w:p>
      <w:pPr>
        <w:autoSpaceDE/>
        <w:autoSpaceDN/>
        <w:spacing w:line="360" w:lineRule="auto"/>
        <w:rPr>
          <w:rFonts w:hint="eastAsia" w:ascii="宋体" w:hAnsi="宋体"/>
          <w:sz w:val="21"/>
          <w:szCs w:val="21"/>
          <w:lang w:val="en-US"/>
        </w:rPr>
      </w:pPr>
      <w:r>
        <w:rPr>
          <w:rFonts w:hint="eastAsia" w:ascii="宋体" w:hAnsi="宋体"/>
          <w:sz w:val="21"/>
          <w:szCs w:val="21"/>
          <w:lang w:val="en-US"/>
        </w:rPr>
        <w:t>（2）运营企业应制定运营项目的生产运行、设备管理、质量控制、安全和环境管理等各项规章制度，具有保障运营项目正常、安全、高效运营的可靠机制，具有污水处理厂数据采集、分析控制、生产调度等计算机网络系统管理经验。</w:t>
      </w:r>
    </w:p>
    <w:p>
      <w:pPr>
        <w:autoSpaceDE/>
        <w:autoSpaceDN/>
        <w:spacing w:line="360" w:lineRule="auto"/>
        <w:rPr>
          <w:rFonts w:hint="eastAsia" w:ascii="宋体" w:hAnsi="宋体"/>
          <w:sz w:val="21"/>
          <w:szCs w:val="21"/>
          <w:lang w:val="en-US"/>
        </w:rPr>
      </w:pPr>
      <w:r>
        <w:rPr>
          <w:rFonts w:hint="eastAsia" w:ascii="宋体" w:hAnsi="宋体"/>
          <w:sz w:val="21"/>
          <w:szCs w:val="21"/>
          <w:lang w:val="en-US"/>
        </w:rPr>
        <w:t>（3）每年度广东省环境信用评价等级不低于蓝牌。</w:t>
      </w:r>
    </w:p>
    <w:p>
      <w:pPr>
        <w:autoSpaceDE/>
        <w:autoSpaceDN/>
        <w:spacing w:line="360" w:lineRule="auto"/>
        <w:rPr>
          <w:rFonts w:hint="eastAsia" w:ascii="宋体" w:hAnsi="宋体"/>
          <w:sz w:val="21"/>
          <w:szCs w:val="21"/>
          <w:lang w:val="en-US"/>
        </w:rPr>
      </w:pPr>
      <w:r>
        <w:rPr>
          <w:rFonts w:hint="eastAsia" w:ascii="宋体" w:hAnsi="宋体"/>
          <w:sz w:val="21"/>
          <w:szCs w:val="21"/>
          <w:lang w:val="en-US"/>
        </w:rPr>
        <w:t>（4）确保进厂的污水100%经过处理，并达到相关技术要求，不得擅自减产、停产，不得对周边居民生活及环境造成严重影响。如出现以 下情况，应立即采取有效措施，尽快恢复正常运行，并及时向主管部门及环保部门上报，拍照取证、留存异常水样备检：</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①进厂污水浓度大幅度超出污水处理厂设计进水标准，可能严重影响污水处理厂运行的。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②因供电部门线路故障、错峰供电、紧急限电等造成长时间停电或停产，或主要设备、控制系统遭到雷击等造成停产、可能严重影响污水处 理效果的。</w:t>
      </w:r>
    </w:p>
    <w:p>
      <w:pPr>
        <w:autoSpaceDE/>
        <w:autoSpaceDN/>
        <w:spacing w:line="360" w:lineRule="auto"/>
        <w:rPr>
          <w:rFonts w:hint="eastAsia" w:ascii="宋体" w:hAnsi="宋体"/>
          <w:sz w:val="21"/>
          <w:szCs w:val="21"/>
          <w:lang w:val="en-US"/>
        </w:rPr>
      </w:pPr>
      <w:r>
        <w:rPr>
          <w:rFonts w:hint="eastAsia" w:ascii="宋体" w:hAnsi="宋体"/>
          <w:sz w:val="21"/>
          <w:szCs w:val="21"/>
          <w:lang w:val="en-US"/>
        </w:rPr>
        <w:t>③设备、设施的抢修、检修，以及按计划进行的大修或技术改造，可能影响正常运行的。</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（5）各种设备运行情况应达到下列标准：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①机械设备各部分装置无破损、缺件，无明显锈蚀、脱漆，内外整洁、润滑良好、无泄漏。设备主要技术参数达到设备出场标准，能满足工 艺运行需要。设备启动和运转正常、无异响，温升、噪声、振动值不超过设备出场标准。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②电气设备装置完整，操作灵活，绝缘等级达到设计要求，安全可靠。</w:t>
      </w:r>
    </w:p>
    <w:p>
      <w:pPr>
        <w:autoSpaceDE/>
        <w:autoSpaceDN/>
        <w:spacing w:line="360" w:lineRule="auto"/>
        <w:rPr>
          <w:rFonts w:hint="eastAsia" w:ascii="宋体" w:hAnsi="宋体"/>
          <w:sz w:val="21"/>
          <w:szCs w:val="21"/>
          <w:lang w:val="en-US"/>
        </w:rPr>
      </w:pPr>
      <w:r>
        <w:rPr>
          <w:rFonts w:hint="eastAsia" w:ascii="宋体" w:hAnsi="宋体"/>
          <w:sz w:val="21"/>
          <w:szCs w:val="21"/>
          <w:lang w:val="en-US"/>
        </w:rPr>
        <w:t>③测量仪表准确可信，并应根据国家相关规定按时校正。</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 ④自控系统应实现全厂主要工艺设备运转状况和工艺参数的实时监控、记录、储存功能。</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（6）运营企业应按照主管部门和环保部门要求维护在线监测装置，不得擅自拆除、闲置、改变或损坏在线监测装置；出现异常情况，应 及时向主管部门和环保部门报告。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（7）厂区内构筑物、建筑物外观整洁，无破损、无污物。生产区域、办公区域卫生状况良好、无杂物。道路、停车场、有限空间、各类 管线应标识明确。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（8）运营企业应建立健全档案及信息管理制度，配备专职管理人员或兼职人员负责资料管理，并在一定时期内保持人员的相对稳定。由 专人负责信息统计工作，定期进行综合或专项统计分析，并按时填报生产报表及有关部门要求的其他报表。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（9）严格执行各项法律法规、规章制度，运营期内不得因违反相关规定而受到处罚。</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（10）对新标准的执行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委托运营期内，若有关污水处理厂出水水质及泥质标准的中国国家标准、行业标准或广东省地方标准发生变化时，对中标人运营的污水处 理厂出水水质及泥质标准考核应执行该等新的标准，前述标准若有冲突，以较严格的为准。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委托运营期内，若执行新的标准须调整或改变工艺流程，中标单位有义务协助与配合采购人对相关项目设施实施的技术改造。如确因新标 准的实施或技术改造原因导致中标人运营维护费用增加，由双方协商解决。</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2.质量考核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（1）考核周期：污水处理运营维护按季度进行考核。均以不定期抽检方式进行，不定期抽检占10%考核分数。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（2）考核内容及标准：污水处理厂的运营服务质量，标准见考核细则（附件） </w:t>
      </w:r>
    </w:p>
    <w:p>
      <w:pPr>
        <w:autoSpaceDE/>
        <w:autoSpaceDN/>
        <w:spacing w:line="360" w:lineRule="auto"/>
        <w:rPr>
          <w:rFonts w:hint="eastAsia"/>
          <w:lang w:val="en-US"/>
        </w:rPr>
      </w:pPr>
      <w:r>
        <w:rPr>
          <w:rFonts w:hint="eastAsia" w:ascii="宋体" w:hAnsi="宋体"/>
          <w:sz w:val="21"/>
          <w:szCs w:val="21"/>
          <w:lang w:val="en-US"/>
        </w:rPr>
        <w:t>（3）运营服务质量评价等级划分</w:t>
      </w:r>
    </w:p>
    <w:tbl>
      <w:tblPr>
        <w:tblStyle w:val="10"/>
        <w:tblpPr w:leftFromText="180" w:rightFromText="180" w:vertAnchor="text" w:horzAnchor="page" w:tblpX="1951" w:tblpY="142"/>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总评价得分</w:t>
            </w:r>
          </w:p>
        </w:tc>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85分≤考核得分</w:t>
            </w:r>
          </w:p>
        </w:tc>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70≤考核得分＜85</w:t>
            </w:r>
          </w:p>
        </w:tc>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60≤考核得分＜70</w:t>
            </w:r>
          </w:p>
        </w:tc>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考核得分＜60</w:t>
            </w:r>
          </w:p>
        </w:tc>
        <w:tc>
          <w:tcPr>
            <w:tcW w:w="409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差</w:t>
            </w:r>
          </w:p>
        </w:tc>
      </w:tr>
    </w:tbl>
    <w:p>
      <w:pPr>
        <w:autoSpaceDE/>
        <w:autoSpaceDN/>
        <w:spacing w:line="360" w:lineRule="auto"/>
        <w:rPr>
          <w:rFonts w:hint="eastAsia" w:ascii="宋体" w:hAnsi="宋体"/>
          <w:sz w:val="21"/>
          <w:szCs w:val="21"/>
          <w:lang w:val="en-US"/>
        </w:rPr>
      </w:pPr>
      <w:r>
        <w:rPr>
          <w:rFonts w:hint="eastAsia" w:ascii="宋体" w:hAnsi="宋体"/>
          <w:sz w:val="21"/>
          <w:szCs w:val="21"/>
          <w:lang w:val="en-US"/>
        </w:rPr>
        <w:t>（六）大涌污水处理厂运营维护费</w:t>
      </w:r>
    </w:p>
    <w:p>
      <w:pPr>
        <w:autoSpaceDE/>
        <w:autoSpaceDN/>
        <w:spacing w:line="360" w:lineRule="auto"/>
        <w:rPr>
          <w:rFonts w:hint="eastAsia" w:ascii="宋体" w:hAnsi="宋体"/>
          <w:sz w:val="21"/>
          <w:szCs w:val="21"/>
          <w:lang w:val="en-US"/>
        </w:rPr>
      </w:pPr>
      <w:r>
        <w:rPr>
          <w:rFonts w:hint="eastAsia" w:ascii="宋体" w:hAnsi="宋体"/>
          <w:sz w:val="21"/>
          <w:szCs w:val="21"/>
          <w:lang w:val="en-US"/>
        </w:rPr>
        <w:t>1.计费方式</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（1）大涌污水处理厂运营维护费=大涌污水处理厂中标综合单价×月度实际处理量。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2）如果因非运营方的原因造成污水处理量减少或停产（如泵站日平均水位低造成管网水量不足、计划性停产维修、重大工程项目建设、非运营方原因造成的停电、不可抗力等情况），该日处理水量按照15000m³/天保底结算。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（3）当进水严重超标（指进水中的任何一项指标包括COD、氨氮、总氮、总磷、悬浮物超过规定的进水水质标准+20%以上，或者进水 pH小于6或者大于9，或者进水中含有现有污水处理工艺无法处理或者去除智符合出水水质要求的异常或者生物毒性污水情况时）且可能危及污 水处理设施安全运行时，运营方在履行通知义务后有权停止进行污水处理，中标人免责，在此停止运行处理期间，应按正常运营费的60%支付 运营维护费。当进水超标10%-20%（含10%），运营方应达标排放，达标时按10%的比例增加运营维护费，不能达标时在履行通知义务后停 止进行污水处理，在此停运期间，应按正常运营费的60%支付运营维护费。当进水超标0-10%，中标人应达标排放。以上进水水质超标时的免责或服务费均以天计，特殊情况双方协商确定。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（4）大涌污水处理厂运营维护费年总结算费用≤30000吨/日×365日×中标综合单价（元/吨）。</w:t>
      </w:r>
    </w:p>
    <w:p>
      <w:pPr>
        <w:autoSpaceDE/>
        <w:autoSpaceDN/>
        <w:spacing w:line="360" w:lineRule="auto"/>
        <w:rPr>
          <w:rFonts w:hint="eastAsia" w:ascii="宋体" w:hAnsi="宋体"/>
          <w:color w:val="auto"/>
          <w:sz w:val="21"/>
          <w:szCs w:val="21"/>
          <w:lang w:val="en-US"/>
        </w:rPr>
      </w:pPr>
      <w:r>
        <w:rPr>
          <w:rFonts w:hint="eastAsia" w:ascii="宋体" w:hAnsi="宋体"/>
          <w:sz w:val="21"/>
          <w:szCs w:val="21"/>
          <w:lang w:val="en-US"/>
        </w:rPr>
        <w:t>2.</w:t>
      </w:r>
      <w:r>
        <w:rPr>
          <w:rFonts w:hint="eastAsia" w:ascii="宋体" w:hAnsi="宋体"/>
          <w:color w:val="auto"/>
          <w:sz w:val="21"/>
          <w:szCs w:val="21"/>
          <w:lang w:val="en-US"/>
        </w:rPr>
        <w:t>考核扣减</w:t>
      </w:r>
    </w:p>
    <w:p>
      <w:pPr>
        <w:autoSpaceDE/>
        <w:autoSpaceDN/>
        <w:spacing w:line="360" w:lineRule="auto"/>
        <w:rPr>
          <w:rFonts w:hint="eastAsia" w:ascii="宋体" w:hAnsi="宋体"/>
          <w:color w:val="auto"/>
          <w:sz w:val="21"/>
          <w:szCs w:val="21"/>
          <w:lang w:val="en-US"/>
        </w:rPr>
      </w:pPr>
      <w:r>
        <w:rPr>
          <w:rFonts w:hint="eastAsia" w:ascii="宋体" w:hAnsi="宋体"/>
          <w:color w:val="auto"/>
          <w:sz w:val="21"/>
          <w:szCs w:val="21"/>
          <w:lang w:val="en-US"/>
        </w:rPr>
        <w:t xml:space="preserve">（1）大涌污水处理厂处理负荷将作为基本考核条件，考核指标为自然年大涌污水处理厂平均处理负荷，要求年平均处理负荷应≥设计规模的50%，即年处理量应≥547.5万吨。未达到考核要求的扣减污水处理运营维护年总运营费的3%。 </w:t>
      </w:r>
    </w:p>
    <w:p>
      <w:pPr>
        <w:autoSpaceDE/>
        <w:autoSpaceDN/>
        <w:spacing w:line="360" w:lineRule="auto"/>
        <w:rPr>
          <w:rFonts w:hint="eastAsia" w:ascii="宋体" w:hAnsi="宋体"/>
          <w:color w:val="auto"/>
          <w:sz w:val="21"/>
          <w:szCs w:val="21"/>
          <w:lang w:val="en-US"/>
        </w:rPr>
      </w:pPr>
      <w:r>
        <w:rPr>
          <w:rFonts w:hint="eastAsia" w:ascii="宋体" w:hAnsi="宋体"/>
          <w:color w:val="auto"/>
          <w:sz w:val="21"/>
          <w:szCs w:val="21"/>
          <w:lang w:val="en-US"/>
        </w:rPr>
        <w:t xml:space="preserve">（2）运营服务评价与支付：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运营维护服务质量考核分数分为固定考核分数（90%）和不定期抽查考核分数（10%）。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运营服务评价等级为优的，不扣减考核期内运营维护费；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运营服务评价等级为良好的，扣减3%考核期内运营维护费；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运营服务评价等级为一般的，扣减5%考核期内运营维护费；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运营服务评价等级为差的，扣减10%考核期内运营维护费。</w:t>
      </w:r>
    </w:p>
    <w:p>
      <w:pPr>
        <w:autoSpaceDE/>
        <w:autoSpaceDN/>
        <w:spacing w:line="360" w:lineRule="auto"/>
        <w:jc w:val="center"/>
        <w:rPr>
          <w:rFonts w:hint="eastAsia" w:ascii="宋体" w:hAnsi="宋体"/>
          <w:sz w:val="21"/>
          <w:szCs w:val="21"/>
          <w:lang w:val="en-US"/>
        </w:rPr>
      </w:pPr>
      <w:r>
        <w:rPr>
          <w:rFonts w:hint="eastAsia" w:ascii="宋体" w:hAnsi="宋体"/>
          <w:sz w:val="21"/>
          <w:szCs w:val="21"/>
          <w:lang w:val="en-US"/>
        </w:rPr>
        <w:t>质量考核等级划分表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总评价得分</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评价等级</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扣减服务费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85分≤考核得分</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优秀</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70≤考核得分＜85</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良好</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60≤考核得分＜70</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一般</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考核得分＜60</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差</w:t>
            </w:r>
          </w:p>
        </w:tc>
        <w:tc>
          <w:tcPr>
            <w:tcW w:w="2841" w:type="dxa"/>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10%</w:t>
            </w:r>
          </w:p>
        </w:tc>
      </w:tr>
    </w:tbl>
    <w:p>
      <w:pPr>
        <w:autoSpaceDE/>
        <w:autoSpaceDN/>
        <w:spacing w:line="360" w:lineRule="auto"/>
        <w:rPr>
          <w:rFonts w:hint="eastAsia" w:ascii="宋体" w:hAnsi="宋体"/>
          <w:sz w:val="21"/>
          <w:szCs w:val="21"/>
          <w:lang w:val="en-US"/>
        </w:rPr>
      </w:pPr>
      <w:r>
        <w:rPr>
          <w:rFonts w:hint="eastAsia" w:ascii="宋体" w:hAnsi="宋体"/>
          <w:sz w:val="21"/>
          <w:szCs w:val="21"/>
          <w:lang w:val="en-US"/>
        </w:rPr>
        <w:t>3.污泥处置费差价补偿</w:t>
      </w:r>
    </w:p>
    <w:p>
      <w:pPr>
        <w:autoSpaceDE/>
        <w:autoSpaceDN/>
        <w:spacing w:line="360" w:lineRule="auto"/>
        <w:rPr>
          <w:rFonts w:hint="eastAsia" w:ascii="宋体" w:hAnsi="宋体"/>
          <w:sz w:val="21"/>
          <w:szCs w:val="21"/>
          <w:lang w:val="en-US"/>
        </w:rPr>
      </w:pPr>
      <w:r>
        <w:rPr>
          <w:rFonts w:hint="eastAsia" w:ascii="宋体" w:hAnsi="宋体"/>
          <w:sz w:val="21"/>
          <w:szCs w:val="21"/>
          <w:lang w:val="en-US"/>
        </w:rPr>
        <w:t>（1）委托运营期内，若污泥处置费单价出现调整，根据中山市相关调价文件要求向运营维护单位按月补足污泥处置费差价。污泥处置费差价具体计算公式如下：</w:t>
      </w:r>
    </w:p>
    <w:p>
      <w:pPr>
        <w:autoSpaceDE/>
        <w:autoSpaceDN/>
        <w:spacing w:line="360" w:lineRule="auto"/>
        <w:rPr>
          <w:rFonts w:hint="eastAsia" w:ascii="宋体" w:hAnsi="宋体"/>
          <w:sz w:val="21"/>
          <w:szCs w:val="21"/>
          <w:lang w:val="en-US"/>
        </w:rPr>
      </w:pPr>
      <w:r>
        <w:rPr>
          <w:rFonts w:hint="eastAsia" w:ascii="宋体" w:hAnsi="宋体"/>
          <w:sz w:val="21"/>
          <w:szCs w:val="21"/>
          <w:lang w:val="en-US"/>
        </w:rPr>
        <w:t>（2）污泥处置费差价=（最新污泥处理服务费单价-499元/吨）×价格调整后实际污泥处置量。</w:t>
      </w:r>
    </w:p>
    <w:p>
      <w:pPr>
        <w:autoSpaceDE/>
        <w:autoSpaceDN/>
        <w:spacing w:line="360" w:lineRule="auto"/>
        <w:rPr>
          <w:rFonts w:hint="eastAsia" w:ascii="宋体" w:hAnsi="宋体"/>
          <w:sz w:val="21"/>
          <w:szCs w:val="21"/>
          <w:lang w:val="en-US"/>
        </w:rPr>
      </w:pPr>
      <w:r>
        <w:rPr>
          <w:rFonts w:hint="eastAsia" w:ascii="宋体" w:hAnsi="宋体"/>
          <w:sz w:val="21"/>
          <w:szCs w:val="21"/>
          <w:lang w:val="en-US"/>
        </w:rPr>
        <w:t>4.付款方式</w:t>
      </w:r>
    </w:p>
    <w:p>
      <w:pPr>
        <w:autoSpaceDE/>
        <w:autoSpaceDN/>
        <w:spacing w:line="360" w:lineRule="auto"/>
        <w:rPr>
          <w:rFonts w:hint="eastAsia" w:ascii="宋体" w:hAnsi="宋体"/>
          <w:sz w:val="21"/>
          <w:szCs w:val="21"/>
          <w:lang w:val="en-US"/>
        </w:rPr>
      </w:pPr>
      <w:r>
        <w:rPr>
          <w:rFonts w:hint="eastAsia" w:ascii="宋体" w:hAnsi="宋体"/>
          <w:sz w:val="21"/>
          <w:szCs w:val="21"/>
          <w:lang w:val="en-US"/>
        </w:rPr>
        <w:t>（1）本项目运营维护费按月支付。中标人在每月5号前对上月污水处理量及污水处理有关数据信息进行核对和汇总，并将汇总结果报采购人审核确认。</w:t>
      </w:r>
    </w:p>
    <w:p>
      <w:pPr>
        <w:autoSpaceDE/>
        <w:autoSpaceDN/>
        <w:spacing w:line="360" w:lineRule="auto"/>
        <w:rPr>
          <w:rFonts w:hint="eastAsia" w:ascii="宋体" w:hAnsi="宋体"/>
          <w:color w:val="auto"/>
          <w:sz w:val="21"/>
          <w:szCs w:val="21"/>
          <w:lang w:val="en-US"/>
        </w:rPr>
      </w:pPr>
      <w:r>
        <w:rPr>
          <w:rFonts w:hint="eastAsia" w:ascii="宋体" w:hAnsi="宋体"/>
          <w:sz w:val="21"/>
          <w:szCs w:val="21"/>
          <w:lang w:val="en-US"/>
        </w:rPr>
        <w:t>（2）采购人在收到中标人提交的付款通知账单之日起，应对中标人送交的付款通知账单和相关资料的计算结果进行复核</w:t>
      </w:r>
      <w:r>
        <w:rPr>
          <w:rFonts w:hint="eastAsia" w:ascii="宋体" w:hAnsi="宋体"/>
          <w:color w:val="auto"/>
          <w:sz w:val="21"/>
          <w:szCs w:val="21"/>
          <w:lang w:val="en-US"/>
        </w:rPr>
        <w:t>确认。如对中标 人提交的付款金额或者付款要求有异议的，可在收到资料之日起7日内通知中标人并要求说明原因，并在付款到期日先行支付无争议部分金额。 任何有关争议金额，由双方在争议出现后协商解决。</w:t>
      </w:r>
    </w:p>
    <w:p>
      <w:pPr>
        <w:autoSpaceDE/>
        <w:autoSpaceDN/>
        <w:spacing w:line="360" w:lineRule="auto"/>
        <w:rPr>
          <w:rFonts w:hint="eastAsia" w:ascii="宋体" w:hAnsi="宋体"/>
          <w:color w:val="auto"/>
          <w:sz w:val="21"/>
          <w:szCs w:val="21"/>
          <w:lang w:val="en-US"/>
        </w:rPr>
      </w:pPr>
      <w:r>
        <w:rPr>
          <w:rFonts w:hint="eastAsia" w:ascii="宋体" w:hAnsi="宋体"/>
          <w:color w:val="auto"/>
          <w:sz w:val="21"/>
          <w:szCs w:val="21"/>
          <w:lang w:val="en-US"/>
        </w:rPr>
        <w:t>（3）采购人在核准确认无争议的应付污水处理费金额后，及时通知中标人开具并递交与前述核准确认金额相符的费用发票及其他收款凭证给采购人，并在2个月内支付该月的运营维护费给中标人。</w:t>
      </w:r>
    </w:p>
    <w:p>
      <w:pPr>
        <w:autoSpaceDE/>
        <w:autoSpaceDN/>
        <w:spacing w:line="360" w:lineRule="auto"/>
        <w:rPr>
          <w:rFonts w:hint="eastAsia" w:ascii="宋体" w:hAnsi="宋体"/>
          <w:color w:val="auto"/>
          <w:sz w:val="21"/>
          <w:szCs w:val="21"/>
          <w:lang w:val="en-US"/>
        </w:rPr>
      </w:pPr>
      <w:r>
        <w:rPr>
          <w:rFonts w:hint="eastAsia" w:ascii="宋体" w:hAnsi="宋体"/>
          <w:color w:val="auto"/>
          <w:sz w:val="21"/>
          <w:szCs w:val="21"/>
          <w:lang w:val="en-US"/>
        </w:rPr>
        <w:t>（4）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autoSpaceDE/>
        <w:autoSpaceDN/>
        <w:spacing w:line="360" w:lineRule="auto"/>
        <w:rPr>
          <w:rFonts w:hint="eastAsia" w:ascii="宋体" w:hAnsi="宋体"/>
          <w:color w:val="auto"/>
          <w:sz w:val="21"/>
          <w:szCs w:val="21"/>
          <w:lang w:val="en-US"/>
        </w:rPr>
      </w:pPr>
      <w:r>
        <w:rPr>
          <w:rFonts w:hint="eastAsia" w:ascii="宋体" w:hAnsi="宋体"/>
          <w:color w:val="auto"/>
          <w:sz w:val="21"/>
          <w:szCs w:val="21"/>
          <w:lang w:val="en-US"/>
        </w:rPr>
        <w:t>（七 )项目移交</w:t>
      </w:r>
    </w:p>
    <w:p>
      <w:pPr>
        <w:autoSpaceDE/>
        <w:autoSpaceDN/>
        <w:spacing w:line="360" w:lineRule="auto"/>
        <w:rPr>
          <w:rFonts w:hint="eastAsia" w:ascii="宋体" w:hAnsi="宋体"/>
          <w:color w:val="auto"/>
          <w:sz w:val="21"/>
          <w:szCs w:val="21"/>
          <w:lang w:val="en-US"/>
        </w:rPr>
      </w:pPr>
      <w:r>
        <w:rPr>
          <w:rFonts w:hint="eastAsia" w:ascii="宋体" w:hAnsi="宋体"/>
          <w:color w:val="auto"/>
          <w:sz w:val="21"/>
          <w:szCs w:val="21"/>
          <w:lang w:val="en-US"/>
        </w:rPr>
        <w:t>1.本项目移交包括委托运营期初的正向移交和委托运营期结束的期末移交。</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2.正向移交，按照《委托运营合同》约定向中标运营维护单位移交项目设施。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3.期末移交，指本项目《委托运营合同》期满终止或提前终止时，运营维护单位按照《委托运营合同》约定业主单位移交项目设施。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 xml:space="preserve">4.项目移交前，由业主单位及中标运营维护单位双方成立项目移交工作组，负责商定正向移交和期末移交中具体的移交程序、范围及标 准，并处理移交过程中的各项事务。 </w:t>
      </w:r>
    </w:p>
    <w:p>
      <w:pPr>
        <w:autoSpaceDE/>
        <w:autoSpaceDN/>
        <w:spacing w:line="360" w:lineRule="auto"/>
        <w:rPr>
          <w:rFonts w:hint="eastAsia" w:ascii="宋体" w:hAnsi="宋体"/>
          <w:sz w:val="21"/>
          <w:szCs w:val="21"/>
          <w:lang w:val="en-US"/>
        </w:rPr>
      </w:pPr>
      <w:r>
        <w:rPr>
          <w:rFonts w:hint="eastAsia" w:ascii="宋体" w:hAnsi="宋体"/>
          <w:sz w:val="21"/>
          <w:szCs w:val="21"/>
          <w:lang w:val="en-US"/>
        </w:rPr>
        <w:t>5.正向移交时按照现状进行移交，移交后统一由中标单位进行运营管理。</w:t>
      </w:r>
    </w:p>
    <w:p>
      <w:pPr>
        <w:autoSpaceDE/>
        <w:autoSpaceDN/>
        <w:spacing w:line="360" w:lineRule="auto"/>
        <w:rPr>
          <w:rFonts w:hint="eastAsia" w:ascii="宋体" w:hAnsi="宋体"/>
          <w:b/>
          <w:bCs/>
          <w:sz w:val="21"/>
          <w:szCs w:val="21"/>
          <w:lang w:val="en-US"/>
        </w:rPr>
      </w:pPr>
      <w:r>
        <w:rPr>
          <w:rFonts w:hint="eastAsia" w:ascii="宋体" w:hAnsi="宋体"/>
          <w:b/>
          <w:bCs/>
          <w:sz w:val="21"/>
          <w:szCs w:val="21"/>
          <w:lang w:val="en-US"/>
        </w:rPr>
        <w:t xml:space="preserve">附件1：大涌污水处理厂主要设备一览表 </w:t>
      </w:r>
    </w:p>
    <w:p>
      <w:pPr>
        <w:autoSpaceDE/>
        <w:autoSpaceDN/>
        <w:spacing w:line="360" w:lineRule="auto"/>
        <w:rPr>
          <w:rFonts w:hint="eastAsia" w:ascii="宋体" w:hAnsi="宋体"/>
          <w:b/>
          <w:bCs/>
          <w:sz w:val="21"/>
          <w:szCs w:val="21"/>
          <w:lang w:val="en-US"/>
        </w:rPr>
      </w:pPr>
      <w:r>
        <w:rPr>
          <w:rFonts w:hint="eastAsia" w:ascii="宋体" w:hAnsi="宋体"/>
          <w:b/>
          <w:bCs/>
          <w:sz w:val="21"/>
          <w:szCs w:val="21"/>
          <w:lang w:val="en-US"/>
        </w:rPr>
        <w:t xml:space="preserve">一期第一次建设主要设备一览表 </w:t>
      </w:r>
    </w:p>
    <w:tbl>
      <w:tblPr>
        <w:tblStyle w:val="10"/>
        <w:tblpPr w:leftFromText="180" w:rightFromText="180" w:vertAnchor="text" w:horzAnchor="page" w:tblpX="2055"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035"/>
        <w:gridCol w:w="3446"/>
        <w:gridCol w:w="952"/>
        <w:gridCol w:w="95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序号</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名称及规格</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技术参数</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材料</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数量</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一、进水泵房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电动闸门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BXH=1400X1400</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带启闭机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钢丝牵引绳机 械格栅</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井宽B=1.8n H=12m 75°b=25mm S=10mm</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格栅有效高 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螺旋输送机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B=500 L=6000</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潜污泵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Q=1500m3/h H=15m N=90k 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潜污泵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Q=6000m3/h H=15m N=45k 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二、细格栅及涡流沉砂池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GGL型手动方 闸门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600x600</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碳钢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2个</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下开式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手动插板</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800x600</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铝合金</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XQ型循环式 齿耙清污机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B=0.8，H=1.3m，N=0.75K W</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栅条间隙2 mm，安装 角度75°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螺旋输送机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B=0.3m,L=3.0m,N=3.0kw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1套</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旋流沉砂器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D=2.5m，N=3.3KW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洗砂泵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Q=9L/S,N=1.4kw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7</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砂水分离器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Q=5-12L/S,N=0.37kw</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1套</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电动闸阀</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DN100 L=230</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三、CASS生物处理池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水下搅拌机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D=580 N=5.5KW</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回流污泥泵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Q=60-160m3/h H=5m N=5.9k 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变频调速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剩余污泥泵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Q=14m3/h H=10m N=1.7kw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旋转式滗水器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Q=14m3/h H=10m N=1.7kw</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配控制装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管膜式曝气器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Φ64L=1000mm Q=9m3/h*个</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1504 个</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手动闸阀</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DN300 L=356</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铸铁</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7</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对夹式电动蝶 阀</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DN300 L=78</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铸铁</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电动闸阀</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BXH=800X800</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不锈钢</w:t>
            </w: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四、紫外线消毒系统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紫外线消毒系 统</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灯管：32只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紫外模块：4个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系统控制中心：1个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配电中心：1套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液压系统中心：1套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清洗系统：1套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支撑架：1套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接线箱：1套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紫外线强度监视系统：1套 水位传感器：1套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空压机：1套 </w:t>
            </w:r>
          </w:p>
          <w:p>
            <w:pPr>
              <w:pStyle w:val="5"/>
              <w:rPr>
                <w:rFonts w:hint="eastAsia" w:ascii="宋体" w:hAnsi="宋体"/>
                <w:b w:val="0"/>
                <w:bCs w:val="0"/>
                <w:sz w:val="21"/>
                <w:szCs w:val="21"/>
                <w:lang w:val="en-US"/>
              </w:rPr>
            </w:pPr>
            <w:r>
              <w:rPr>
                <w:rFonts w:hint="eastAsia" w:ascii="宋体" w:hAnsi="宋体"/>
                <w:b w:val="0"/>
                <w:bCs w:val="0"/>
                <w:sz w:val="21"/>
                <w:szCs w:val="21"/>
                <w:lang w:val="en-US"/>
              </w:rPr>
              <w:t xml:space="preserve">安全操作箱：1个 </w:t>
            </w:r>
          </w:p>
          <w:p>
            <w:pPr>
              <w:pStyle w:val="5"/>
              <w:rPr>
                <w:rFonts w:hint="eastAsia" w:ascii="宋体" w:hAnsi="宋体"/>
                <w:b w:val="0"/>
                <w:bCs w:val="0"/>
                <w:sz w:val="21"/>
                <w:szCs w:val="21"/>
                <w:lang w:val="en-US"/>
              </w:rPr>
            </w:pPr>
            <w:r>
              <w:rPr>
                <w:rFonts w:hint="eastAsia" w:ascii="宋体" w:hAnsi="宋体"/>
                <w:b w:val="0"/>
                <w:bCs w:val="0"/>
                <w:sz w:val="21"/>
                <w:szCs w:val="21"/>
                <w:lang w:val="en-US"/>
              </w:rPr>
              <w:t>进水手动闸板：2套</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五、鼓风机房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罗茨鼓风机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Q=3200m3/h p=0.69bar 9 0kw 4200rpm 380w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LX型电动单梁 起重机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跨度6.0m</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1套</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轴流风机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N=0.1KW 2200m3/h</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六、污泥脱水车间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带式浓缩脱水 一体机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Q=20-40m3/h B=1000m N =1.85KW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污泥螺杆泵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Q=7-31m3/h P=0.2MPa N= 5.5KW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空压机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Q=0.19m3/h，P=0.7MPa ，N=1.5KW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一体化溶解加 药装置</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Q=1.5m3/h N=2.95kw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计量泵</w:t>
            </w:r>
          </w:p>
        </w:tc>
        <w:tc>
          <w:tcPr>
            <w:tcW w:w="3446"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反冲洗水泵</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Q=12m3/h H=60m N=4kw</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7</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自动冲洗过滤</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DN50</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管道混合器</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DN200</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9</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水平无轴螺旋 输送机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Q=10m3/h L=13m</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10</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倾斜无轴螺旋 输送机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Q=10m3/h L=8m 25°</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1台</w:t>
            </w:r>
          </w:p>
        </w:tc>
        <w:tc>
          <w:tcPr>
            <w:tcW w:w="1185"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11</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絮凝池反应搅 拌机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R=3.58m，N=1.1KW 转速3. 9r/min</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2台</w:t>
            </w:r>
          </w:p>
        </w:tc>
        <w:tc>
          <w:tcPr>
            <w:tcW w:w="118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12</w:t>
            </w:r>
          </w:p>
        </w:tc>
        <w:tc>
          <w:tcPr>
            <w:tcW w:w="103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轴流通风机</w:t>
            </w:r>
          </w:p>
        </w:tc>
        <w:tc>
          <w:tcPr>
            <w:tcW w:w="3446"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N=0.12KW， 3265m3/h</w:t>
            </w:r>
          </w:p>
        </w:tc>
        <w:tc>
          <w:tcPr>
            <w:tcW w:w="952" w:type="dxa"/>
            <w:noWrap w:val="0"/>
            <w:vAlign w:val="top"/>
          </w:tcPr>
          <w:p>
            <w:pPr>
              <w:pStyle w:val="5"/>
              <w:rPr>
                <w:rFonts w:hint="eastAsia" w:ascii="宋体" w:hAnsi="宋体"/>
                <w:b w:val="0"/>
                <w:bCs w:val="0"/>
                <w:sz w:val="21"/>
                <w:szCs w:val="21"/>
                <w:lang w:val="en-US"/>
              </w:rPr>
            </w:pPr>
          </w:p>
        </w:tc>
        <w:tc>
          <w:tcPr>
            <w:tcW w:w="952"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4台</w:t>
            </w:r>
          </w:p>
        </w:tc>
        <w:tc>
          <w:tcPr>
            <w:tcW w:w="1185" w:type="dxa"/>
            <w:noWrap w:val="0"/>
            <w:vAlign w:val="top"/>
          </w:tcPr>
          <w:p>
            <w:pPr>
              <w:pStyle w:val="5"/>
              <w:rPr>
                <w:rFonts w:hint="eastAsia" w:ascii="宋体" w:hAnsi="宋体"/>
                <w:b w:val="0"/>
                <w:bCs w:val="0"/>
                <w:sz w:val="21"/>
                <w:szCs w:val="21"/>
                <w:lang w:val="en-US"/>
              </w:rPr>
            </w:pPr>
          </w:p>
        </w:tc>
      </w:tr>
    </w:tbl>
    <w:p>
      <w:pPr>
        <w:autoSpaceDE/>
        <w:autoSpaceDN/>
        <w:spacing w:line="360" w:lineRule="auto"/>
        <w:rPr>
          <w:rFonts w:hint="eastAsia" w:ascii="宋体" w:hAnsi="宋体"/>
          <w:b/>
          <w:bCs/>
          <w:sz w:val="21"/>
          <w:szCs w:val="21"/>
          <w:lang w:val="en-US"/>
        </w:rPr>
      </w:pPr>
    </w:p>
    <w:p>
      <w:pPr>
        <w:autoSpaceDE/>
        <w:autoSpaceDN/>
        <w:spacing w:line="360" w:lineRule="auto"/>
        <w:rPr>
          <w:rFonts w:hint="eastAsia" w:ascii="宋体" w:hAnsi="宋体"/>
          <w:b/>
          <w:bCs/>
          <w:sz w:val="21"/>
          <w:szCs w:val="21"/>
          <w:lang w:val="en-US"/>
        </w:rPr>
      </w:pPr>
      <w:r>
        <w:rPr>
          <w:rFonts w:hint="eastAsia" w:ascii="宋体" w:hAnsi="宋体"/>
          <w:b/>
          <w:bCs/>
          <w:sz w:val="21"/>
          <w:szCs w:val="21"/>
          <w:lang w:val="en-US"/>
        </w:rPr>
        <w:t>一期第二次建设主要设备表</w:t>
      </w:r>
    </w:p>
    <w:tbl>
      <w:tblPr>
        <w:tblStyle w:val="10"/>
        <w:tblpPr w:leftFromText="180" w:rightFromText="180" w:vertAnchor="text" w:horzAnchor="page" w:tblpX="1696" w:tblpY="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209"/>
        <w:gridCol w:w="3120"/>
        <w:gridCol w:w="810"/>
        <w:gridCol w:w="91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rFonts w:hint="eastAsia"/>
                <w:lang w:val="en-US"/>
              </w:rPr>
            </w:pPr>
            <w:r>
              <w:rPr>
                <w:rFonts w:hint="eastAsia"/>
                <w:lang w:val="en-US"/>
              </w:rPr>
              <w:t>序号</w:t>
            </w:r>
          </w:p>
        </w:tc>
        <w:tc>
          <w:tcPr>
            <w:tcW w:w="1209" w:type="dxa"/>
            <w:noWrap w:val="0"/>
            <w:vAlign w:val="top"/>
          </w:tcPr>
          <w:p>
            <w:pPr>
              <w:rPr>
                <w:rFonts w:hint="eastAsia"/>
                <w:lang w:val="en-US"/>
              </w:rPr>
            </w:pPr>
            <w:r>
              <w:rPr>
                <w:rFonts w:hint="eastAsia"/>
                <w:lang w:val="en-US"/>
              </w:rPr>
              <w:t>名 称</w:t>
            </w:r>
          </w:p>
        </w:tc>
        <w:tc>
          <w:tcPr>
            <w:tcW w:w="3120" w:type="dxa"/>
            <w:noWrap w:val="0"/>
            <w:vAlign w:val="top"/>
          </w:tcPr>
          <w:p>
            <w:pPr>
              <w:rPr>
                <w:rFonts w:hint="eastAsia"/>
                <w:lang w:val="en-US"/>
              </w:rPr>
            </w:pPr>
            <w:r>
              <w:rPr>
                <w:rFonts w:hint="eastAsia"/>
                <w:lang w:val="en-US"/>
              </w:rPr>
              <w:t>技术参数</w:t>
            </w:r>
          </w:p>
        </w:tc>
        <w:tc>
          <w:tcPr>
            <w:tcW w:w="810" w:type="dxa"/>
            <w:noWrap w:val="0"/>
            <w:vAlign w:val="top"/>
          </w:tcPr>
          <w:p>
            <w:pPr>
              <w:rPr>
                <w:rFonts w:hint="eastAsia"/>
                <w:lang w:val="en-US"/>
              </w:rPr>
            </w:pPr>
            <w:r>
              <w:rPr>
                <w:rFonts w:hint="eastAsia"/>
                <w:lang w:val="en-US"/>
              </w:rPr>
              <w:t>材 料</w:t>
            </w:r>
          </w:p>
        </w:tc>
        <w:tc>
          <w:tcPr>
            <w:tcW w:w="915" w:type="dxa"/>
            <w:noWrap w:val="0"/>
            <w:vAlign w:val="top"/>
          </w:tcPr>
          <w:p>
            <w:pPr>
              <w:rPr>
                <w:rFonts w:hint="eastAsia"/>
                <w:lang w:val="en-US"/>
              </w:rPr>
            </w:pPr>
            <w:r>
              <w:rPr>
                <w:rFonts w:hint="eastAsia"/>
                <w:lang w:val="en-US"/>
              </w:rPr>
              <w:t>数量</w:t>
            </w:r>
          </w:p>
        </w:tc>
        <w:tc>
          <w:tcPr>
            <w:tcW w:w="1133" w:type="dxa"/>
            <w:noWrap w:val="0"/>
            <w:vAlign w:val="top"/>
          </w:tcPr>
          <w:p>
            <w:pPr>
              <w:rPr>
                <w:rFonts w:hint="eastAsia"/>
                <w:lang w:val="en-US"/>
              </w:rPr>
            </w:pPr>
            <w:r>
              <w:rPr>
                <w:rFonts w:hint="eastAsia"/>
                <w:lang w:val="en-U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一、提升泵站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电动葫芦</w:t>
            </w:r>
          </w:p>
        </w:tc>
        <w:tc>
          <w:tcPr>
            <w:tcW w:w="3120" w:type="dxa"/>
            <w:noWrap w:val="0"/>
            <w:vAlign w:val="top"/>
          </w:tcPr>
          <w:p>
            <w:pPr>
              <w:rPr>
                <w:rFonts w:hint="eastAsia"/>
                <w:lang w:val="en-US"/>
              </w:rPr>
            </w:pPr>
            <w:r>
              <w:rPr>
                <w:rFonts w:hint="eastAsia"/>
                <w:lang w:val="en-US"/>
              </w:rPr>
              <w:t xml:space="preserve">起重量 3吨 起升高度18m </w:t>
            </w:r>
          </w:p>
          <w:p>
            <w:pPr>
              <w:rPr>
                <w:rFonts w:hint="eastAsia"/>
                <w:lang w:val="en-US"/>
              </w:rPr>
            </w:pPr>
            <w:r>
              <w:rPr>
                <w:rFonts w:hint="eastAsia"/>
                <w:lang w:val="en-US"/>
              </w:rPr>
              <w:t xml:space="preserve">行程16.5m 起升功率 4.5kW </w:t>
            </w:r>
          </w:p>
          <w:p>
            <w:pPr>
              <w:rPr>
                <w:rFonts w:hint="eastAsia"/>
                <w:lang w:val="en-US"/>
              </w:rPr>
            </w:pPr>
            <w:r>
              <w:rPr>
                <w:rFonts w:hint="eastAsia"/>
                <w:lang w:val="en-US"/>
              </w:rPr>
              <w:t xml:space="preserve">运行功率 0.4kW </w:t>
            </w:r>
          </w:p>
          <w:p>
            <w:pPr>
              <w:rPr>
                <w:rFonts w:hint="eastAsia"/>
                <w:lang w:val="en-US"/>
              </w:rPr>
            </w:pPr>
            <w:r>
              <w:rPr>
                <w:rFonts w:hint="eastAsia"/>
                <w:lang w:val="en-US"/>
              </w:rPr>
              <w:t>含工字钢、导轨、雨篷等安装附件</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2</w:t>
            </w:r>
          </w:p>
        </w:tc>
        <w:tc>
          <w:tcPr>
            <w:tcW w:w="1209" w:type="dxa"/>
            <w:noWrap w:val="0"/>
            <w:vAlign w:val="top"/>
          </w:tcPr>
          <w:p>
            <w:pPr>
              <w:rPr>
                <w:rFonts w:hint="eastAsia"/>
                <w:lang w:val="en-US"/>
              </w:rPr>
            </w:pPr>
            <w:r>
              <w:rPr>
                <w:rFonts w:hint="eastAsia"/>
                <w:lang w:val="en-US"/>
              </w:rPr>
              <w:t>提升泵</w:t>
            </w:r>
          </w:p>
        </w:tc>
        <w:tc>
          <w:tcPr>
            <w:tcW w:w="3120" w:type="dxa"/>
            <w:noWrap w:val="0"/>
            <w:vAlign w:val="top"/>
          </w:tcPr>
          <w:p>
            <w:pPr>
              <w:rPr>
                <w:rFonts w:hint="eastAsia"/>
                <w:lang w:val="en-US"/>
              </w:rPr>
            </w:pPr>
            <w:r>
              <w:rPr>
                <w:rFonts w:hint="eastAsia"/>
                <w:lang w:val="en-US"/>
              </w:rPr>
              <w:t xml:space="preserve">350QW1500-15-90 流量 Q=1500m3/h </w:t>
            </w:r>
          </w:p>
          <w:p>
            <w:pPr>
              <w:rPr>
                <w:rFonts w:hint="eastAsia"/>
                <w:lang w:val="en-US"/>
              </w:rPr>
            </w:pPr>
            <w:r>
              <w:rPr>
                <w:rFonts w:hint="eastAsia"/>
                <w:lang w:val="en-US"/>
              </w:rPr>
              <w:t xml:space="preserve">扬程 H=15m </w:t>
            </w:r>
          </w:p>
          <w:p>
            <w:pPr>
              <w:rPr>
                <w:rFonts w:hint="eastAsia"/>
                <w:lang w:val="en-US"/>
              </w:rPr>
            </w:pPr>
            <w:r>
              <w:rPr>
                <w:rFonts w:hint="eastAsia"/>
                <w:lang w:val="en-US"/>
              </w:rPr>
              <w:t>电机功率 N=45kW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r>
              <w:rPr>
                <w:rFonts w:hint="eastAsia"/>
                <w:lang w:val="en-US"/>
              </w:rPr>
              <w:t>干备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二、鼓风机房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鼓风机</w:t>
            </w:r>
          </w:p>
        </w:tc>
        <w:tc>
          <w:tcPr>
            <w:tcW w:w="3120" w:type="dxa"/>
            <w:noWrap w:val="0"/>
            <w:vAlign w:val="top"/>
          </w:tcPr>
          <w:p>
            <w:pPr>
              <w:rPr>
                <w:rFonts w:hint="eastAsia"/>
                <w:lang w:val="en-US"/>
              </w:rPr>
            </w:pPr>
            <w:r>
              <w:rPr>
                <w:rFonts w:hint="eastAsia"/>
                <w:lang w:val="en-US"/>
              </w:rPr>
              <w:t xml:space="preserve">风量 Q=50.7m3/min </w:t>
            </w:r>
          </w:p>
          <w:p>
            <w:pPr>
              <w:rPr>
                <w:rFonts w:hint="eastAsia"/>
                <w:lang w:val="en-US"/>
              </w:rPr>
            </w:pPr>
            <w:r>
              <w:rPr>
                <w:rFonts w:hint="eastAsia"/>
                <w:lang w:val="en-US"/>
              </w:rPr>
              <w:t xml:space="preserve">风压 P=68.6kPa 电机功率 N=90kW </w:t>
            </w:r>
          </w:p>
          <w:p>
            <w:pPr>
              <w:rPr>
                <w:rFonts w:hint="eastAsia"/>
                <w:lang w:val="en-US"/>
              </w:rPr>
            </w:pPr>
            <w:r>
              <w:rPr>
                <w:rFonts w:hint="eastAsia"/>
                <w:lang w:val="en-US"/>
              </w:rPr>
              <w:t>鼓风转速 1210r/min</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2台</w:t>
            </w:r>
          </w:p>
        </w:tc>
        <w:tc>
          <w:tcPr>
            <w:tcW w:w="1133" w:type="dxa"/>
            <w:noWrap w:val="0"/>
            <w:vAlign w:val="top"/>
          </w:tcPr>
          <w:p>
            <w:pPr>
              <w:rPr>
                <w:rFonts w:hint="eastAsia"/>
                <w:lang w:val="en-US"/>
              </w:rPr>
            </w:pPr>
            <w:r>
              <w:rPr>
                <w:rFonts w:hint="eastAsia"/>
                <w:lang w:val="en-US"/>
              </w:rPr>
              <w:t>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三、CASS池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闸门</w:t>
            </w:r>
          </w:p>
        </w:tc>
        <w:tc>
          <w:tcPr>
            <w:tcW w:w="3120" w:type="dxa"/>
            <w:noWrap w:val="0"/>
            <w:vAlign w:val="top"/>
          </w:tcPr>
          <w:p>
            <w:pPr>
              <w:rPr>
                <w:rFonts w:hint="eastAsia"/>
                <w:lang w:val="en-US"/>
              </w:rPr>
            </w:pPr>
            <w:r>
              <w:rPr>
                <w:rFonts w:hint="eastAsia"/>
                <w:lang w:val="en-US"/>
              </w:rPr>
              <w:t xml:space="preserve">PTZ-800×800 </w:t>
            </w:r>
          </w:p>
          <w:p>
            <w:pPr>
              <w:rPr>
                <w:rFonts w:hint="eastAsia"/>
                <w:lang w:val="en-US"/>
              </w:rPr>
            </w:pPr>
            <w:r>
              <w:rPr>
                <w:rFonts w:hint="eastAsia"/>
                <w:lang w:val="en-US"/>
              </w:rPr>
              <w:t xml:space="preserve">通径：800×800 渗水量： </w:t>
            </w:r>
          </w:p>
          <w:p>
            <w:pPr>
              <w:rPr>
                <w:rFonts w:hint="eastAsia"/>
                <w:lang w:val="en-US"/>
              </w:rPr>
            </w:pPr>
            <w:r>
              <w:rPr>
                <w:rFonts w:hint="eastAsia"/>
                <w:lang w:val="en-US"/>
              </w:rPr>
              <w:t xml:space="preserve">正向≤0.72 L/m.hr 反向≤1.25 L/m.hr 配SDQ-20启闭机， </w:t>
            </w:r>
          </w:p>
          <w:p>
            <w:pPr>
              <w:rPr>
                <w:rFonts w:hint="eastAsia"/>
                <w:lang w:val="en-US"/>
              </w:rPr>
            </w:pPr>
            <w:r>
              <w:rPr>
                <w:rFonts w:hint="eastAsia"/>
                <w:lang w:val="en-US"/>
              </w:rPr>
              <w:t>N=1.1kW</w:t>
            </w:r>
          </w:p>
        </w:tc>
        <w:tc>
          <w:tcPr>
            <w:tcW w:w="810" w:type="dxa"/>
            <w:noWrap w:val="0"/>
            <w:vAlign w:val="top"/>
          </w:tcPr>
          <w:p>
            <w:pPr>
              <w:rPr>
                <w:rFonts w:hint="eastAsia"/>
                <w:lang w:val="en-US"/>
              </w:rPr>
            </w:pPr>
            <w:r>
              <w:rPr>
                <w:rFonts w:hint="eastAsia"/>
                <w:lang w:val="en-US"/>
              </w:rPr>
              <w:t>铸铁</w:t>
            </w:r>
          </w:p>
        </w:tc>
        <w:tc>
          <w:tcPr>
            <w:tcW w:w="915" w:type="dxa"/>
            <w:noWrap w:val="0"/>
            <w:vAlign w:val="top"/>
          </w:tcPr>
          <w:p>
            <w:pPr>
              <w:rPr>
                <w:rFonts w:hint="eastAsia"/>
                <w:lang w:val="en-US"/>
              </w:rPr>
            </w:pPr>
            <w:r>
              <w:rPr>
                <w:rFonts w:hint="eastAsia"/>
                <w:lang w:val="en-US"/>
              </w:rPr>
              <w:t>4台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2</w:t>
            </w:r>
          </w:p>
        </w:tc>
        <w:tc>
          <w:tcPr>
            <w:tcW w:w="1209" w:type="dxa"/>
            <w:noWrap w:val="0"/>
            <w:vAlign w:val="top"/>
          </w:tcPr>
          <w:p>
            <w:pPr>
              <w:rPr>
                <w:rFonts w:hint="eastAsia"/>
                <w:lang w:val="en-US"/>
              </w:rPr>
            </w:pPr>
            <w:r>
              <w:rPr>
                <w:rFonts w:hint="eastAsia"/>
                <w:lang w:val="en-US"/>
              </w:rPr>
              <w:t>滗水器</w:t>
            </w:r>
          </w:p>
        </w:tc>
        <w:tc>
          <w:tcPr>
            <w:tcW w:w="3120" w:type="dxa"/>
            <w:noWrap w:val="0"/>
            <w:vAlign w:val="top"/>
          </w:tcPr>
          <w:p>
            <w:pPr>
              <w:rPr>
                <w:rFonts w:hint="eastAsia"/>
                <w:lang w:val="en-US"/>
              </w:rPr>
            </w:pPr>
            <w:r>
              <w:rPr>
                <w:rFonts w:hint="eastAsia"/>
                <w:lang w:val="en-US"/>
              </w:rPr>
              <w:t xml:space="preserve">XBS-910 </w:t>
            </w:r>
          </w:p>
          <w:p>
            <w:pPr>
              <w:rPr>
                <w:rFonts w:hint="eastAsia"/>
                <w:lang w:val="en-US"/>
              </w:rPr>
            </w:pPr>
            <w:r>
              <w:rPr>
                <w:rFonts w:hint="eastAsia"/>
                <w:lang w:val="en-US"/>
              </w:rPr>
              <w:t xml:space="preserve">流量：910m3/h </w:t>
            </w:r>
          </w:p>
          <w:p>
            <w:pPr>
              <w:rPr>
                <w:rFonts w:hint="eastAsia"/>
                <w:lang w:val="en-US"/>
              </w:rPr>
            </w:pPr>
            <w:r>
              <w:rPr>
                <w:rFonts w:hint="eastAsia"/>
                <w:lang w:val="en-US"/>
              </w:rPr>
              <w:t>功率：1.1kW</w:t>
            </w:r>
          </w:p>
        </w:tc>
        <w:tc>
          <w:tcPr>
            <w:tcW w:w="810" w:type="dxa"/>
            <w:noWrap w:val="0"/>
            <w:vAlign w:val="top"/>
          </w:tcPr>
          <w:p>
            <w:pPr>
              <w:rPr>
                <w:rFonts w:hint="eastAsia"/>
                <w:lang w:val="en-US"/>
              </w:rPr>
            </w:pPr>
            <w:r>
              <w:rPr>
                <w:rFonts w:hint="eastAsia"/>
                <w:lang w:val="en-US"/>
              </w:rPr>
              <w:t>SS304</w:t>
            </w:r>
          </w:p>
        </w:tc>
        <w:tc>
          <w:tcPr>
            <w:tcW w:w="915" w:type="dxa"/>
            <w:noWrap w:val="0"/>
            <w:vAlign w:val="top"/>
          </w:tcPr>
          <w:p>
            <w:pPr>
              <w:rPr>
                <w:rFonts w:hint="eastAsia"/>
                <w:lang w:val="en-US"/>
              </w:rPr>
            </w:pPr>
            <w:r>
              <w:rPr>
                <w:rFonts w:hint="eastAsia"/>
                <w:lang w:val="en-US"/>
              </w:rPr>
              <w:t>4台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3</w:t>
            </w:r>
          </w:p>
        </w:tc>
        <w:tc>
          <w:tcPr>
            <w:tcW w:w="1209" w:type="dxa"/>
            <w:noWrap w:val="0"/>
            <w:vAlign w:val="top"/>
          </w:tcPr>
          <w:p>
            <w:pPr>
              <w:rPr>
                <w:rFonts w:hint="eastAsia"/>
                <w:lang w:val="en-US"/>
              </w:rPr>
            </w:pPr>
            <w:r>
              <w:rPr>
                <w:rFonts w:hint="eastAsia"/>
                <w:lang w:val="en-US"/>
              </w:rPr>
              <w:t>厌氧池搅拌器</w:t>
            </w:r>
          </w:p>
        </w:tc>
        <w:tc>
          <w:tcPr>
            <w:tcW w:w="3120" w:type="dxa"/>
            <w:noWrap w:val="0"/>
            <w:vAlign w:val="top"/>
          </w:tcPr>
          <w:p>
            <w:pPr>
              <w:rPr>
                <w:rFonts w:hint="eastAsia"/>
                <w:lang w:val="en-US"/>
              </w:rPr>
            </w:pPr>
            <w:r>
              <w:rPr>
                <w:rFonts w:hint="eastAsia"/>
                <w:lang w:val="en-US"/>
              </w:rPr>
              <w:t xml:space="preserve">SB1221 </w:t>
            </w:r>
          </w:p>
          <w:p>
            <w:pPr>
              <w:rPr>
                <w:rFonts w:hint="eastAsia"/>
                <w:lang w:val="en-US"/>
              </w:rPr>
            </w:pPr>
            <w:r>
              <w:rPr>
                <w:rFonts w:hint="eastAsia"/>
                <w:lang w:val="en-US"/>
              </w:rPr>
              <w:t xml:space="preserve">转速 n=79r/min 叶轮直径 1200mm </w:t>
            </w:r>
          </w:p>
          <w:p>
            <w:pPr>
              <w:rPr>
                <w:rFonts w:hint="eastAsia"/>
                <w:lang w:val="en-US"/>
              </w:rPr>
            </w:pPr>
            <w:r>
              <w:rPr>
                <w:rFonts w:hint="eastAsia"/>
                <w:lang w:val="en-US"/>
              </w:rPr>
              <w:t xml:space="preserve">电机功率 N=3.0kW </w:t>
            </w:r>
          </w:p>
          <w:p>
            <w:pPr>
              <w:rPr>
                <w:rFonts w:hint="eastAsia"/>
                <w:lang w:val="en-US"/>
              </w:rPr>
            </w:pPr>
            <w:r>
              <w:rPr>
                <w:rFonts w:hint="eastAsia"/>
                <w:lang w:val="en-US"/>
              </w:rPr>
              <w:t>配不锈钢导轨及吊装机座（池深6. 8m）</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8台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4</w:t>
            </w:r>
          </w:p>
        </w:tc>
        <w:tc>
          <w:tcPr>
            <w:tcW w:w="1209" w:type="dxa"/>
            <w:noWrap w:val="0"/>
            <w:vAlign w:val="top"/>
          </w:tcPr>
          <w:p>
            <w:pPr>
              <w:rPr>
                <w:rFonts w:hint="eastAsia"/>
                <w:lang w:val="en-US"/>
              </w:rPr>
            </w:pPr>
            <w:r>
              <w:rPr>
                <w:rFonts w:hint="eastAsia"/>
                <w:lang w:val="en-US"/>
              </w:rPr>
              <w:t>污泥回流泵</w:t>
            </w:r>
          </w:p>
        </w:tc>
        <w:tc>
          <w:tcPr>
            <w:tcW w:w="3120" w:type="dxa"/>
            <w:noWrap w:val="0"/>
            <w:vAlign w:val="top"/>
          </w:tcPr>
          <w:p>
            <w:pPr>
              <w:rPr>
                <w:rFonts w:hint="eastAsia"/>
                <w:lang w:val="en-US"/>
              </w:rPr>
            </w:pPr>
            <w:r>
              <w:rPr>
                <w:rFonts w:hint="eastAsia"/>
                <w:lang w:val="en-US"/>
              </w:rPr>
              <w:t xml:space="preserve">AFP1042 </w:t>
            </w:r>
          </w:p>
          <w:p>
            <w:pPr>
              <w:rPr>
                <w:rFonts w:hint="eastAsia"/>
                <w:lang w:val="en-US"/>
              </w:rPr>
            </w:pPr>
            <w:r>
              <w:rPr>
                <w:rFonts w:hint="eastAsia"/>
                <w:lang w:val="en-US"/>
              </w:rPr>
              <w:t xml:space="preserve">流量 Q=164m3/h 扬程 H=5.25m </w:t>
            </w:r>
          </w:p>
          <w:p>
            <w:pPr>
              <w:rPr>
                <w:rFonts w:hint="eastAsia"/>
                <w:lang w:val="en-US"/>
              </w:rPr>
            </w:pPr>
            <w:r>
              <w:rPr>
                <w:rFonts w:hint="eastAsia"/>
                <w:lang w:val="en-US"/>
              </w:rPr>
              <w:t>电机功率 N=6kW 配自耦装置及不锈钢导轨</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5台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5</w:t>
            </w:r>
          </w:p>
        </w:tc>
        <w:tc>
          <w:tcPr>
            <w:tcW w:w="1209" w:type="dxa"/>
            <w:noWrap w:val="0"/>
            <w:vAlign w:val="top"/>
          </w:tcPr>
          <w:p>
            <w:pPr>
              <w:rPr>
                <w:rFonts w:hint="eastAsia"/>
                <w:lang w:val="en-US"/>
              </w:rPr>
            </w:pPr>
            <w:r>
              <w:rPr>
                <w:rFonts w:hint="eastAsia"/>
                <w:lang w:val="en-US"/>
              </w:rPr>
              <w:t>剩余污泥泵</w:t>
            </w:r>
          </w:p>
        </w:tc>
        <w:tc>
          <w:tcPr>
            <w:tcW w:w="3120" w:type="dxa"/>
            <w:noWrap w:val="0"/>
            <w:vAlign w:val="top"/>
          </w:tcPr>
          <w:p>
            <w:pPr>
              <w:rPr>
                <w:rFonts w:hint="eastAsia"/>
                <w:lang w:val="en-US"/>
              </w:rPr>
            </w:pPr>
            <w:r>
              <w:rPr>
                <w:rFonts w:hint="eastAsia"/>
                <w:lang w:val="en-US"/>
              </w:rPr>
              <w:t xml:space="preserve">AFP0530 </w:t>
            </w:r>
          </w:p>
          <w:p>
            <w:pPr>
              <w:rPr>
                <w:rFonts w:hint="eastAsia"/>
                <w:lang w:val="en-US"/>
              </w:rPr>
            </w:pPr>
            <w:r>
              <w:rPr>
                <w:rFonts w:hint="eastAsia"/>
                <w:lang w:val="en-US"/>
              </w:rPr>
              <w:t>流量 Q=14m3/h 扬程 H=10m 电机功率 N=1.7kW 配自耦装置及不锈钢导</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5台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6</w:t>
            </w:r>
          </w:p>
        </w:tc>
        <w:tc>
          <w:tcPr>
            <w:tcW w:w="1209" w:type="dxa"/>
            <w:noWrap w:val="0"/>
            <w:vAlign w:val="top"/>
          </w:tcPr>
          <w:p>
            <w:pPr>
              <w:rPr>
                <w:rFonts w:hint="eastAsia"/>
                <w:lang w:val="en-US"/>
              </w:rPr>
            </w:pPr>
            <w:r>
              <w:rPr>
                <w:rFonts w:hint="eastAsia"/>
                <w:lang w:val="en-US"/>
              </w:rPr>
              <w:t>管式微孔曝气器</w:t>
            </w:r>
          </w:p>
        </w:tc>
        <w:tc>
          <w:tcPr>
            <w:tcW w:w="3120" w:type="dxa"/>
            <w:noWrap w:val="0"/>
            <w:vAlign w:val="top"/>
          </w:tcPr>
          <w:p>
            <w:pPr>
              <w:rPr>
                <w:rFonts w:hint="eastAsia"/>
                <w:lang w:val="en-US"/>
              </w:rPr>
            </w:pPr>
            <w:r>
              <w:rPr>
                <w:rFonts w:hint="eastAsia"/>
                <w:lang w:val="en-US"/>
              </w:rPr>
              <w:t xml:space="preserve">RAUBIOXON PLUS 风量：Q=6m3/h.套 氧利用率≥25% </w:t>
            </w:r>
          </w:p>
          <w:p>
            <w:pPr>
              <w:rPr>
                <w:rFonts w:hint="eastAsia"/>
                <w:lang w:val="en-US"/>
              </w:rPr>
            </w:pPr>
            <w:r>
              <w:rPr>
                <w:rFonts w:hint="eastAsia"/>
                <w:lang w:val="en-US"/>
              </w:rPr>
              <w:t xml:space="preserve">阻力损失 &lt;4~5kPa </w:t>
            </w:r>
          </w:p>
          <w:p>
            <w:pPr>
              <w:rPr>
                <w:rFonts w:hint="eastAsia"/>
                <w:lang w:val="en-US"/>
              </w:rPr>
            </w:pPr>
            <w:r>
              <w:rPr>
                <w:rFonts w:hint="eastAsia"/>
                <w:lang w:val="en-US"/>
              </w:rPr>
              <w:t>尺寸：67mm×1000mm</w:t>
            </w:r>
          </w:p>
          <w:p>
            <w:pPr>
              <w:rPr>
                <w:rFonts w:hint="eastAsia"/>
                <w:lang w:val="en-US"/>
              </w:rPr>
            </w:pPr>
            <w:r>
              <w:rPr>
                <w:rFonts w:hint="eastAsia"/>
                <w:lang w:val="en-US"/>
              </w:rPr>
              <w:t>池内水 深 6000mm</w:t>
            </w:r>
          </w:p>
        </w:tc>
        <w:tc>
          <w:tcPr>
            <w:tcW w:w="810" w:type="dxa"/>
            <w:noWrap w:val="0"/>
            <w:vAlign w:val="top"/>
          </w:tcPr>
          <w:p>
            <w:pPr>
              <w:rPr>
                <w:rFonts w:hint="eastAsia"/>
                <w:lang w:val="en-US"/>
              </w:rPr>
            </w:pPr>
            <w:r>
              <w:rPr>
                <w:rFonts w:hint="eastAsia"/>
                <w:lang w:val="en-US"/>
              </w:rPr>
              <w:t>膜片：硅 橡胶</w:t>
            </w:r>
          </w:p>
        </w:tc>
        <w:tc>
          <w:tcPr>
            <w:tcW w:w="915" w:type="dxa"/>
            <w:noWrap w:val="0"/>
            <w:vAlign w:val="top"/>
          </w:tcPr>
          <w:p>
            <w:pPr>
              <w:rPr>
                <w:rFonts w:hint="eastAsia"/>
                <w:lang w:val="en-US"/>
              </w:rPr>
            </w:pPr>
            <w:r>
              <w:rPr>
                <w:rFonts w:hint="eastAsia"/>
                <w:lang w:val="en-US"/>
              </w:rPr>
              <w:t>1504套</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7</w:t>
            </w:r>
          </w:p>
        </w:tc>
        <w:tc>
          <w:tcPr>
            <w:tcW w:w="1209" w:type="dxa"/>
            <w:noWrap w:val="0"/>
            <w:vAlign w:val="top"/>
          </w:tcPr>
          <w:p>
            <w:pPr>
              <w:rPr>
                <w:rFonts w:hint="eastAsia"/>
                <w:lang w:val="en-US"/>
              </w:rPr>
            </w:pPr>
            <w:r>
              <w:rPr>
                <w:rFonts w:hint="eastAsia"/>
                <w:lang w:val="en-US"/>
              </w:rPr>
              <w:t>下开式闸门</w:t>
            </w:r>
          </w:p>
        </w:tc>
        <w:tc>
          <w:tcPr>
            <w:tcW w:w="3120" w:type="dxa"/>
            <w:noWrap w:val="0"/>
            <w:vAlign w:val="top"/>
          </w:tcPr>
          <w:p>
            <w:pPr>
              <w:rPr>
                <w:rFonts w:hint="eastAsia"/>
                <w:lang w:val="en-US"/>
              </w:rPr>
            </w:pPr>
            <w:r>
              <w:rPr>
                <w:rFonts w:hint="eastAsia"/>
                <w:lang w:val="en-US"/>
              </w:rPr>
              <w:t xml:space="preserve">SFZ-500×500 </w:t>
            </w:r>
          </w:p>
          <w:p>
            <w:pPr>
              <w:rPr>
                <w:rFonts w:hint="eastAsia"/>
                <w:lang w:val="en-US"/>
              </w:rPr>
            </w:pPr>
            <w:r>
              <w:rPr>
                <w:rFonts w:hint="eastAsia"/>
                <w:lang w:val="en-US"/>
              </w:rPr>
              <w:t xml:space="preserve">500×500 </w:t>
            </w:r>
          </w:p>
          <w:p>
            <w:pPr>
              <w:rPr>
                <w:rFonts w:hint="eastAsia"/>
                <w:lang w:val="en-US"/>
              </w:rPr>
            </w:pPr>
            <w:r>
              <w:rPr>
                <w:rFonts w:hint="eastAsia"/>
                <w:lang w:val="en-US"/>
              </w:rPr>
              <w:t xml:space="preserve">渗水量： </w:t>
            </w:r>
          </w:p>
          <w:p>
            <w:pPr>
              <w:rPr>
                <w:rFonts w:hint="eastAsia"/>
                <w:lang w:val="en-US"/>
              </w:rPr>
            </w:pPr>
            <w:r>
              <w:rPr>
                <w:rFonts w:hint="eastAsia"/>
                <w:lang w:val="en-US"/>
              </w:rPr>
              <w:t>正向≤0.72 L/m.hr 反向≤1.25 L/m.hr</w:t>
            </w:r>
          </w:p>
        </w:tc>
        <w:tc>
          <w:tcPr>
            <w:tcW w:w="810" w:type="dxa"/>
            <w:noWrap w:val="0"/>
            <w:vAlign w:val="top"/>
          </w:tcPr>
          <w:p>
            <w:pPr>
              <w:rPr>
                <w:rFonts w:hint="eastAsia"/>
                <w:lang w:val="en-US"/>
              </w:rPr>
            </w:pPr>
            <w:r>
              <w:rPr>
                <w:rFonts w:hint="eastAsia"/>
                <w:lang w:val="en-US"/>
              </w:rPr>
              <w:t>铸铁</w:t>
            </w:r>
          </w:p>
        </w:tc>
        <w:tc>
          <w:tcPr>
            <w:tcW w:w="915" w:type="dxa"/>
            <w:noWrap w:val="0"/>
            <w:vAlign w:val="top"/>
          </w:tcPr>
          <w:p>
            <w:pPr>
              <w:rPr>
                <w:rFonts w:hint="eastAsia"/>
                <w:lang w:val="en-US"/>
              </w:rPr>
            </w:pPr>
            <w:r>
              <w:rPr>
                <w:rFonts w:hint="eastAsia"/>
                <w:lang w:val="en-US"/>
              </w:rPr>
              <w:t>4台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8</w:t>
            </w:r>
          </w:p>
        </w:tc>
        <w:tc>
          <w:tcPr>
            <w:tcW w:w="1209" w:type="dxa"/>
            <w:noWrap w:val="0"/>
            <w:vAlign w:val="top"/>
          </w:tcPr>
          <w:p>
            <w:pPr>
              <w:rPr>
                <w:rFonts w:hint="eastAsia"/>
                <w:lang w:val="en-US"/>
              </w:rPr>
            </w:pPr>
            <w:r>
              <w:rPr>
                <w:rFonts w:hint="eastAsia"/>
                <w:lang w:val="en-US"/>
              </w:rPr>
              <w:t>水泵起吊装置</w:t>
            </w:r>
          </w:p>
        </w:tc>
        <w:tc>
          <w:tcPr>
            <w:tcW w:w="3120" w:type="dxa"/>
            <w:noWrap w:val="0"/>
            <w:vAlign w:val="top"/>
          </w:tcPr>
          <w:p>
            <w:pPr>
              <w:rPr>
                <w:rFonts w:hint="eastAsia"/>
                <w:lang w:val="en-US"/>
              </w:rPr>
            </w:pP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8套</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四、消毒出水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紫外线消毒装置</w:t>
            </w:r>
          </w:p>
        </w:tc>
        <w:tc>
          <w:tcPr>
            <w:tcW w:w="3120" w:type="dxa"/>
            <w:noWrap w:val="0"/>
            <w:vAlign w:val="top"/>
          </w:tcPr>
          <w:p>
            <w:pPr>
              <w:rPr>
                <w:rFonts w:hint="eastAsia"/>
                <w:lang w:val="en-US"/>
              </w:rPr>
            </w:pPr>
            <w:r>
              <w:rPr>
                <w:rFonts w:hint="eastAsia"/>
                <w:lang w:val="en-US"/>
              </w:rPr>
              <w:t xml:space="preserve">NLQ-15K </w:t>
            </w:r>
          </w:p>
          <w:p>
            <w:pPr>
              <w:rPr>
                <w:rFonts w:hint="eastAsia"/>
                <w:lang w:val="en-US"/>
              </w:rPr>
            </w:pPr>
            <w:r>
              <w:rPr>
                <w:rFonts w:hint="eastAsia"/>
                <w:lang w:val="en-US"/>
              </w:rPr>
              <w:t xml:space="preserve">处理能力: Q=416~658m3/h 总功率：N=17.8kW </w:t>
            </w:r>
          </w:p>
          <w:p>
            <w:pPr>
              <w:rPr>
                <w:rFonts w:hint="eastAsia"/>
                <w:lang w:val="en-US"/>
              </w:rPr>
            </w:pPr>
            <w:r>
              <w:rPr>
                <w:rFonts w:hint="eastAsia"/>
                <w:lang w:val="en-US"/>
              </w:rPr>
              <w:t xml:space="preserve">配现场控制箱、导流板 </w:t>
            </w:r>
          </w:p>
          <w:p>
            <w:pPr>
              <w:rPr>
                <w:rFonts w:hint="eastAsia"/>
                <w:lang w:val="en-US"/>
              </w:rPr>
            </w:pPr>
            <w:r>
              <w:rPr>
                <w:rFonts w:hint="eastAsia"/>
                <w:lang w:val="en-US"/>
              </w:rPr>
              <w:t>水位传感器、自动控制堰门</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1套</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2</w:t>
            </w:r>
          </w:p>
        </w:tc>
        <w:tc>
          <w:tcPr>
            <w:tcW w:w="1209" w:type="dxa"/>
            <w:noWrap w:val="0"/>
            <w:vAlign w:val="top"/>
          </w:tcPr>
          <w:p>
            <w:pPr>
              <w:rPr>
                <w:rFonts w:hint="eastAsia"/>
                <w:lang w:val="en-US"/>
              </w:rPr>
            </w:pPr>
            <w:r>
              <w:rPr>
                <w:rFonts w:hint="eastAsia"/>
                <w:lang w:val="en-US"/>
              </w:rPr>
              <w:t>回用水泵</w:t>
            </w:r>
          </w:p>
        </w:tc>
        <w:tc>
          <w:tcPr>
            <w:tcW w:w="3120" w:type="dxa"/>
            <w:noWrap w:val="0"/>
            <w:vAlign w:val="top"/>
          </w:tcPr>
          <w:p>
            <w:pPr>
              <w:rPr>
                <w:rFonts w:hint="eastAsia"/>
                <w:lang w:val="en-US"/>
              </w:rPr>
            </w:pPr>
            <w:r>
              <w:rPr>
                <w:rFonts w:hint="eastAsia"/>
                <w:lang w:val="en-US"/>
              </w:rPr>
              <w:t xml:space="preserve">CT57.5-80 </w:t>
            </w:r>
          </w:p>
          <w:p>
            <w:pPr>
              <w:rPr>
                <w:rFonts w:hint="eastAsia"/>
                <w:lang w:val="en-US"/>
              </w:rPr>
            </w:pPr>
            <w:r>
              <w:rPr>
                <w:rFonts w:hint="eastAsia"/>
                <w:lang w:val="en-US"/>
              </w:rPr>
              <w:t xml:space="preserve">流量 Q=55m3/h </w:t>
            </w:r>
          </w:p>
          <w:p>
            <w:pPr>
              <w:rPr>
                <w:rFonts w:hint="eastAsia"/>
                <w:lang w:val="en-US"/>
              </w:rPr>
            </w:pPr>
            <w:r>
              <w:rPr>
                <w:rFonts w:hint="eastAsia"/>
                <w:lang w:val="en-US"/>
              </w:rPr>
              <w:t xml:space="preserve">扬程 H=22m </w:t>
            </w:r>
          </w:p>
          <w:p>
            <w:pPr>
              <w:rPr>
                <w:rFonts w:hint="eastAsia"/>
                <w:lang w:val="en-US"/>
              </w:rPr>
            </w:pPr>
            <w:r>
              <w:rPr>
                <w:rFonts w:hint="eastAsia"/>
                <w:lang w:val="en-US"/>
              </w:rPr>
              <w:t xml:space="preserve">电机功率 N=7.5kW </w:t>
            </w:r>
          </w:p>
          <w:p>
            <w:pPr>
              <w:rPr>
                <w:rFonts w:hint="eastAsia"/>
                <w:lang w:val="en-US"/>
              </w:rPr>
            </w:pPr>
            <w:r>
              <w:rPr>
                <w:rFonts w:hint="eastAsia"/>
                <w:lang w:val="en-US"/>
              </w:rPr>
              <w:t>配自耦装置及不锈钢导轨</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2台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五、维修间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电动单梁悬挂起重机</w:t>
            </w:r>
          </w:p>
        </w:tc>
        <w:tc>
          <w:tcPr>
            <w:tcW w:w="3120" w:type="dxa"/>
            <w:noWrap w:val="0"/>
            <w:vAlign w:val="top"/>
          </w:tcPr>
          <w:p>
            <w:pPr>
              <w:rPr>
                <w:rFonts w:hint="eastAsia"/>
                <w:lang w:val="en-US"/>
              </w:rPr>
            </w:pPr>
            <w:r>
              <w:rPr>
                <w:rFonts w:hint="eastAsia"/>
                <w:lang w:val="en-US"/>
              </w:rPr>
              <w:t>LX型</w:t>
            </w:r>
          </w:p>
          <w:p>
            <w:pPr>
              <w:rPr>
                <w:rFonts w:hint="eastAsia"/>
                <w:lang w:val="en-US"/>
              </w:rPr>
            </w:pPr>
            <w:r>
              <w:rPr>
                <w:rFonts w:hint="eastAsia"/>
                <w:lang w:val="en-US"/>
              </w:rPr>
              <w:t xml:space="preserve">起重量 2t </w:t>
            </w:r>
          </w:p>
          <w:p>
            <w:pPr>
              <w:rPr>
                <w:rFonts w:hint="eastAsia"/>
                <w:lang w:val="en-US"/>
              </w:rPr>
            </w:pPr>
            <w:r>
              <w:rPr>
                <w:rFonts w:hint="eastAsia"/>
                <w:lang w:val="en-US"/>
              </w:rPr>
              <w:t xml:space="preserve">起升高度 6m </w:t>
            </w:r>
          </w:p>
          <w:p>
            <w:pPr>
              <w:rPr>
                <w:rFonts w:hint="eastAsia"/>
                <w:lang w:val="en-US"/>
              </w:rPr>
            </w:pPr>
            <w:r>
              <w:rPr>
                <w:rFonts w:hint="eastAsia"/>
                <w:lang w:val="en-US"/>
              </w:rPr>
              <w:t xml:space="preserve">起升速度0.8/8m/min(地操) </w:t>
            </w:r>
          </w:p>
          <w:p>
            <w:pPr>
              <w:rPr>
                <w:rFonts w:hint="eastAsia"/>
                <w:lang w:val="en-US"/>
              </w:rPr>
            </w:pPr>
            <w:r>
              <w:rPr>
                <w:rFonts w:hint="eastAsia"/>
                <w:lang w:val="en-US"/>
              </w:rPr>
              <w:t>跨度 6m</w:t>
            </w:r>
          </w:p>
          <w:p>
            <w:pPr>
              <w:rPr>
                <w:rFonts w:hint="eastAsia"/>
                <w:lang w:val="en-US"/>
              </w:rPr>
            </w:pPr>
            <w:r>
              <w:rPr>
                <w:rFonts w:hint="eastAsia"/>
                <w:lang w:val="en-US"/>
              </w:rPr>
              <w:t xml:space="preserve">行程12m </w:t>
            </w:r>
          </w:p>
          <w:p>
            <w:pPr>
              <w:rPr>
                <w:rFonts w:hint="eastAsia"/>
                <w:lang w:val="en-US"/>
              </w:rPr>
            </w:pPr>
            <w:r>
              <w:rPr>
                <w:rFonts w:hint="eastAsia"/>
                <w:lang w:val="en-US"/>
              </w:rPr>
              <w:t xml:space="preserve">电机总功率 N=4.2kW </w:t>
            </w:r>
          </w:p>
          <w:p>
            <w:pPr>
              <w:rPr>
                <w:rFonts w:hint="eastAsia"/>
                <w:lang w:val="en-US"/>
              </w:rPr>
            </w:pPr>
            <w:r>
              <w:rPr>
                <w:rFonts w:hint="eastAsia"/>
                <w:lang w:val="en-US"/>
              </w:rPr>
              <w:t>配套钢轨</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六、卸泥间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电动泥斗</w:t>
            </w:r>
          </w:p>
        </w:tc>
        <w:tc>
          <w:tcPr>
            <w:tcW w:w="3120" w:type="dxa"/>
            <w:noWrap w:val="0"/>
            <w:vAlign w:val="top"/>
          </w:tcPr>
          <w:p>
            <w:pPr>
              <w:rPr>
                <w:rFonts w:hint="eastAsia"/>
                <w:lang w:val="en-US"/>
              </w:rPr>
            </w:pPr>
            <w:r>
              <w:rPr>
                <w:rFonts w:hint="eastAsia"/>
                <w:lang w:val="en-US"/>
              </w:rPr>
              <w:t xml:space="preserve">DDQ-14 </w:t>
            </w:r>
          </w:p>
          <w:p>
            <w:pPr>
              <w:rPr>
                <w:rFonts w:hint="eastAsia"/>
                <w:lang w:val="en-US"/>
              </w:rPr>
            </w:pPr>
            <w:r>
              <w:rPr>
                <w:rFonts w:hint="eastAsia"/>
                <w:lang w:val="en-US"/>
              </w:rPr>
              <w:t xml:space="preserve">容积 V= 14m3 </w:t>
            </w:r>
          </w:p>
          <w:p>
            <w:pPr>
              <w:rPr>
                <w:rFonts w:hint="eastAsia"/>
                <w:lang w:val="en-US"/>
              </w:rPr>
            </w:pPr>
            <w:r>
              <w:rPr>
                <w:rFonts w:hint="eastAsia"/>
                <w:lang w:val="en-US"/>
              </w:rPr>
              <w:t>功率 N=2.2kW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七、脱水机房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水平无轴螺旋输送</w:t>
            </w:r>
          </w:p>
        </w:tc>
        <w:tc>
          <w:tcPr>
            <w:tcW w:w="3120" w:type="dxa"/>
            <w:noWrap w:val="0"/>
            <w:vAlign w:val="top"/>
          </w:tcPr>
          <w:p>
            <w:pPr>
              <w:rPr>
                <w:rFonts w:hint="eastAsia"/>
                <w:lang w:val="en-US"/>
              </w:rPr>
            </w:pPr>
            <w:r>
              <w:rPr>
                <w:rFonts w:hint="eastAsia"/>
                <w:lang w:val="en-US"/>
              </w:rPr>
              <w:t xml:space="preserve">WLS250 </w:t>
            </w:r>
          </w:p>
          <w:p>
            <w:pPr>
              <w:rPr>
                <w:rFonts w:hint="eastAsia"/>
                <w:lang w:val="en-US"/>
              </w:rPr>
            </w:pPr>
            <w:r>
              <w:rPr>
                <w:rFonts w:hint="eastAsia"/>
                <w:lang w:val="en-US"/>
              </w:rPr>
              <w:t xml:space="preserve">流量 Q=4m3/h </w:t>
            </w:r>
          </w:p>
          <w:p>
            <w:pPr>
              <w:rPr>
                <w:rFonts w:hint="eastAsia"/>
                <w:lang w:val="en-US"/>
              </w:rPr>
            </w:pPr>
            <w:r>
              <w:rPr>
                <w:rFonts w:hint="eastAsia"/>
                <w:lang w:val="en-US"/>
              </w:rPr>
              <w:t xml:space="preserve">长度 14.5m </w:t>
            </w:r>
          </w:p>
          <w:p>
            <w:pPr>
              <w:rPr>
                <w:rFonts w:hint="eastAsia"/>
                <w:lang w:val="en-US"/>
              </w:rPr>
            </w:pPr>
            <w:r>
              <w:rPr>
                <w:rFonts w:hint="eastAsia"/>
                <w:lang w:val="en-US"/>
              </w:rPr>
              <w:t>电机功率 1.5kW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2</w:t>
            </w:r>
          </w:p>
        </w:tc>
        <w:tc>
          <w:tcPr>
            <w:tcW w:w="1209" w:type="dxa"/>
            <w:noWrap w:val="0"/>
            <w:vAlign w:val="top"/>
          </w:tcPr>
          <w:p>
            <w:pPr>
              <w:rPr>
                <w:rFonts w:hint="eastAsia"/>
                <w:lang w:val="en-US"/>
              </w:rPr>
            </w:pPr>
            <w:r>
              <w:rPr>
                <w:rFonts w:hint="eastAsia"/>
                <w:lang w:val="en-US"/>
              </w:rPr>
              <w:t>倾斜无轴螺旋输送</w:t>
            </w:r>
          </w:p>
        </w:tc>
        <w:tc>
          <w:tcPr>
            <w:tcW w:w="3120" w:type="dxa"/>
            <w:noWrap w:val="0"/>
            <w:vAlign w:val="top"/>
          </w:tcPr>
          <w:p>
            <w:pPr>
              <w:rPr>
                <w:rFonts w:hint="eastAsia"/>
                <w:lang w:val="en-US"/>
              </w:rPr>
            </w:pPr>
            <w:r>
              <w:rPr>
                <w:rFonts w:hint="eastAsia"/>
                <w:lang w:val="en-US"/>
              </w:rPr>
              <w:t xml:space="preserve">WLS325 </w:t>
            </w:r>
          </w:p>
          <w:p>
            <w:pPr>
              <w:rPr>
                <w:rFonts w:hint="eastAsia"/>
                <w:lang w:val="en-US"/>
              </w:rPr>
            </w:pPr>
            <w:r>
              <w:rPr>
                <w:rFonts w:hint="eastAsia"/>
                <w:lang w:val="en-US"/>
              </w:rPr>
              <w:t xml:space="preserve">流量 Q=5.5m3/h </w:t>
            </w:r>
          </w:p>
          <w:p>
            <w:pPr>
              <w:rPr>
                <w:rFonts w:hint="eastAsia"/>
                <w:lang w:val="en-US"/>
              </w:rPr>
            </w:pPr>
            <w:r>
              <w:rPr>
                <w:rFonts w:hint="eastAsia"/>
                <w:lang w:val="en-US"/>
              </w:rPr>
              <w:t xml:space="preserve">长度 13.5m </w:t>
            </w:r>
          </w:p>
          <w:p>
            <w:pPr>
              <w:rPr>
                <w:rFonts w:hint="eastAsia"/>
                <w:lang w:val="en-US"/>
              </w:rPr>
            </w:pPr>
            <w:r>
              <w:rPr>
                <w:rFonts w:hint="eastAsia"/>
                <w:lang w:val="en-US"/>
              </w:rPr>
              <w:t xml:space="preserve">角度 30° </w:t>
            </w:r>
          </w:p>
          <w:p>
            <w:pPr>
              <w:rPr>
                <w:rFonts w:hint="eastAsia"/>
                <w:lang w:val="en-US"/>
              </w:rPr>
            </w:pPr>
            <w:r>
              <w:rPr>
                <w:rFonts w:hint="eastAsia"/>
                <w:lang w:val="en-US"/>
              </w:rPr>
              <w:t>电机功率 2.2kW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八、生物除臭系统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生物除臭装置</w:t>
            </w:r>
          </w:p>
        </w:tc>
        <w:tc>
          <w:tcPr>
            <w:tcW w:w="3120" w:type="dxa"/>
            <w:noWrap w:val="0"/>
            <w:vAlign w:val="top"/>
          </w:tcPr>
          <w:p>
            <w:pPr>
              <w:rPr>
                <w:rFonts w:hint="eastAsia"/>
                <w:lang w:val="en-US"/>
              </w:rPr>
            </w:pPr>
            <w:r>
              <w:rPr>
                <w:rFonts w:hint="eastAsia"/>
                <w:lang w:val="en-US"/>
              </w:rPr>
              <w:t xml:space="preserve">BD-5000 </w:t>
            </w:r>
          </w:p>
          <w:p>
            <w:pPr>
              <w:rPr>
                <w:rFonts w:hint="eastAsia"/>
                <w:lang w:val="en-US"/>
              </w:rPr>
            </w:pPr>
            <w:r>
              <w:rPr>
                <w:rFonts w:hint="eastAsia"/>
                <w:lang w:val="en-US"/>
              </w:rPr>
              <w:t>处理风量：5000m3/h含：离心风机</w:t>
            </w:r>
          </w:p>
          <w:p>
            <w:pPr>
              <w:rPr>
                <w:rFonts w:hint="eastAsia"/>
                <w:lang w:val="en-US"/>
              </w:rPr>
            </w:pPr>
            <w:r>
              <w:rPr>
                <w:rFonts w:hint="eastAsia"/>
                <w:lang w:val="en-US"/>
              </w:rPr>
              <w:t xml:space="preserve">生物滤池塔体及填料循环水泵、喷淋水泵补充水箱 </w:t>
            </w:r>
          </w:p>
          <w:p>
            <w:pPr>
              <w:rPr>
                <w:rFonts w:hint="eastAsia"/>
                <w:lang w:val="en-US"/>
              </w:rPr>
            </w:pPr>
            <w:r>
              <w:rPr>
                <w:rFonts w:hint="eastAsia"/>
                <w:lang w:val="en-US"/>
              </w:rPr>
              <w:t>总功率N=13.5kW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3套</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2</w:t>
            </w:r>
          </w:p>
        </w:tc>
        <w:tc>
          <w:tcPr>
            <w:tcW w:w="1209" w:type="dxa"/>
            <w:noWrap w:val="0"/>
            <w:vAlign w:val="top"/>
          </w:tcPr>
          <w:p>
            <w:pPr>
              <w:rPr>
                <w:rFonts w:hint="eastAsia"/>
                <w:lang w:val="en-US"/>
              </w:rPr>
            </w:pPr>
            <w:r>
              <w:rPr>
                <w:rFonts w:hint="eastAsia"/>
                <w:lang w:val="en-US"/>
              </w:rPr>
              <w:t>罗茨鼓风机</w:t>
            </w:r>
          </w:p>
        </w:tc>
        <w:tc>
          <w:tcPr>
            <w:tcW w:w="3120" w:type="dxa"/>
            <w:noWrap w:val="0"/>
            <w:vAlign w:val="top"/>
          </w:tcPr>
          <w:p>
            <w:pPr>
              <w:rPr>
                <w:rFonts w:hint="eastAsia"/>
                <w:lang w:val="en-US"/>
              </w:rPr>
            </w:pPr>
            <w:r>
              <w:rPr>
                <w:rFonts w:hint="eastAsia"/>
                <w:lang w:val="en-US"/>
              </w:rPr>
              <w:t xml:space="preserve">Q=1.2m3/min </w:t>
            </w:r>
          </w:p>
          <w:p>
            <w:pPr>
              <w:rPr>
                <w:rFonts w:hint="eastAsia"/>
                <w:lang w:val="en-US"/>
              </w:rPr>
            </w:pPr>
            <w:r>
              <w:rPr>
                <w:rFonts w:hint="eastAsia"/>
                <w:lang w:val="en-US"/>
              </w:rPr>
              <w:t>△P=3mH2O</w:t>
            </w:r>
          </w:p>
          <w:p>
            <w:pPr>
              <w:rPr>
                <w:rFonts w:hint="eastAsia"/>
                <w:lang w:val="en-US"/>
              </w:rPr>
            </w:pPr>
            <w:r>
              <w:rPr>
                <w:rFonts w:hint="eastAsia"/>
                <w:lang w:val="en-US"/>
              </w:rPr>
              <w:t xml:space="preserve"> N=1.5kW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2台</w:t>
            </w:r>
          </w:p>
        </w:tc>
        <w:tc>
          <w:tcPr>
            <w:tcW w:w="1133" w:type="dxa"/>
            <w:noWrap w:val="0"/>
            <w:vAlign w:val="top"/>
          </w:tcPr>
          <w:p>
            <w:pPr>
              <w:rPr>
                <w:rFonts w:hint="eastAsia"/>
                <w:lang w:val="en-US"/>
              </w:rPr>
            </w:pPr>
            <w:r>
              <w:rPr>
                <w:rFonts w:hint="eastAsia"/>
                <w:lang w:val="en-US"/>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rPr>
                <w:rFonts w:hint="eastAsia"/>
                <w:lang w:val="en-US"/>
              </w:rPr>
            </w:pPr>
            <w:r>
              <w:rPr>
                <w:rFonts w:hint="eastAsia"/>
                <w:lang w:val="en-US"/>
              </w:rPr>
              <w:t>九、配药间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1</w:t>
            </w:r>
          </w:p>
        </w:tc>
        <w:tc>
          <w:tcPr>
            <w:tcW w:w="1209" w:type="dxa"/>
            <w:noWrap w:val="0"/>
            <w:vAlign w:val="top"/>
          </w:tcPr>
          <w:p>
            <w:pPr>
              <w:rPr>
                <w:rFonts w:hint="eastAsia"/>
                <w:lang w:val="en-US"/>
              </w:rPr>
            </w:pPr>
            <w:r>
              <w:rPr>
                <w:rFonts w:hint="eastAsia"/>
                <w:lang w:val="en-US"/>
              </w:rPr>
              <w:t>电动葫芦</w:t>
            </w:r>
          </w:p>
        </w:tc>
        <w:tc>
          <w:tcPr>
            <w:tcW w:w="3120" w:type="dxa"/>
            <w:noWrap w:val="0"/>
            <w:vAlign w:val="top"/>
          </w:tcPr>
          <w:p>
            <w:pPr>
              <w:rPr>
                <w:rFonts w:hint="eastAsia"/>
                <w:lang w:val="en-US"/>
              </w:rPr>
            </w:pPr>
            <w:r>
              <w:rPr>
                <w:rFonts w:hint="eastAsia"/>
                <w:lang w:val="en-US"/>
              </w:rPr>
              <w:t xml:space="preserve">CD10.5-6D </w:t>
            </w:r>
          </w:p>
          <w:p>
            <w:pPr>
              <w:rPr>
                <w:rFonts w:hint="eastAsia"/>
                <w:lang w:val="en-US"/>
              </w:rPr>
            </w:pPr>
            <w:r>
              <w:rPr>
                <w:rFonts w:hint="eastAsia"/>
                <w:lang w:val="en-US"/>
              </w:rPr>
              <w:t xml:space="preserve">起重量 0.5t </w:t>
            </w:r>
          </w:p>
          <w:p>
            <w:pPr>
              <w:rPr>
                <w:rFonts w:hint="eastAsia"/>
                <w:lang w:val="en-US"/>
              </w:rPr>
            </w:pPr>
            <w:r>
              <w:rPr>
                <w:rFonts w:hint="eastAsia"/>
                <w:lang w:val="en-US"/>
              </w:rPr>
              <w:t xml:space="preserve">起升高度 6m </w:t>
            </w:r>
          </w:p>
          <w:p>
            <w:pPr>
              <w:rPr>
                <w:rFonts w:hint="eastAsia"/>
                <w:lang w:val="en-US"/>
              </w:rPr>
            </w:pPr>
            <w:r>
              <w:rPr>
                <w:rFonts w:hint="eastAsia"/>
                <w:lang w:val="en-US"/>
              </w:rPr>
              <w:t>总功率 N=1kW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1台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2</w:t>
            </w:r>
          </w:p>
        </w:tc>
        <w:tc>
          <w:tcPr>
            <w:tcW w:w="1209" w:type="dxa"/>
            <w:noWrap w:val="0"/>
            <w:vAlign w:val="top"/>
          </w:tcPr>
          <w:p>
            <w:pPr>
              <w:rPr>
                <w:rFonts w:hint="eastAsia"/>
                <w:lang w:val="en-US"/>
              </w:rPr>
            </w:pPr>
            <w:r>
              <w:rPr>
                <w:rFonts w:hint="eastAsia"/>
                <w:lang w:val="en-US"/>
              </w:rPr>
              <w:t>搅拌机</w:t>
            </w:r>
          </w:p>
        </w:tc>
        <w:tc>
          <w:tcPr>
            <w:tcW w:w="3120" w:type="dxa"/>
            <w:noWrap w:val="0"/>
            <w:vAlign w:val="top"/>
          </w:tcPr>
          <w:p>
            <w:pPr>
              <w:rPr>
                <w:rFonts w:hint="eastAsia"/>
                <w:lang w:val="en-US"/>
              </w:rPr>
            </w:pPr>
            <w:r>
              <w:rPr>
                <w:rFonts w:hint="eastAsia"/>
                <w:lang w:val="en-US"/>
              </w:rPr>
              <w:t xml:space="preserve">浆叶 Φ800，2叶 </w:t>
            </w:r>
          </w:p>
          <w:p>
            <w:pPr>
              <w:rPr>
                <w:rFonts w:hint="eastAsia"/>
                <w:lang w:val="en-US"/>
              </w:rPr>
            </w:pPr>
            <w:r>
              <w:rPr>
                <w:rFonts w:hint="eastAsia"/>
                <w:lang w:val="en-US"/>
              </w:rPr>
              <w:t xml:space="preserve">轴长 1000mm </w:t>
            </w:r>
          </w:p>
          <w:p>
            <w:pPr>
              <w:rPr>
                <w:rFonts w:hint="eastAsia"/>
                <w:lang w:val="en-US"/>
              </w:rPr>
            </w:pPr>
            <w:r>
              <w:rPr>
                <w:rFonts w:hint="eastAsia"/>
                <w:lang w:val="en-US"/>
              </w:rPr>
              <w:t>电机功率 N=1.5kW</w:t>
            </w:r>
          </w:p>
        </w:tc>
        <w:tc>
          <w:tcPr>
            <w:tcW w:w="810" w:type="dxa"/>
            <w:noWrap w:val="0"/>
            <w:vAlign w:val="top"/>
          </w:tcPr>
          <w:p>
            <w:pPr>
              <w:rPr>
                <w:rFonts w:hint="eastAsia"/>
                <w:lang w:val="en-US"/>
              </w:rPr>
            </w:pPr>
            <w:r>
              <w:rPr>
                <w:rFonts w:hint="eastAsia"/>
                <w:lang w:val="en-US"/>
              </w:rPr>
              <w:t>SS304</w:t>
            </w:r>
          </w:p>
        </w:tc>
        <w:tc>
          <w:tcPr>
            <w:tcW w:w="915" w:type="dxa"/>
            <w:noWrap w:val="0"/>
            <w:vAlign w:val="top"/>
          </w:tcPr>
          <w:p>
            <w:pPr>
              <w:rPr>
                <w:rFonts w:hint="eastAsia"/>
                <w:lang w:val="en-US"/>
              </w:rPr>
            </w:pPr>
            <w:r>
              <w:rPr>
                <w:rFonts w:hint="eastAsia"/>
                <w:lang w:val="en-US"/>
              </w:rPr>
              <w:t>2台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3</w:t>
            </w:r>
          </w:p>
        </w:tc>
        <w:tc>
          <w:tcPr>
            <w:tcW w:w="1209" w:type="dxa"/>
            <w:noWrap w:val="0"/>
            <w:vAlign w:val="top"/>
          </w:tcPr>
          <w:p>
            <w:pPr>
              <w:rPr>
                <w:rFonts w:hint="eastAsia"/>
                <w:lang w:val="en-US"/>
              </w:rPr>
            </w:pPr>
            <w:r>
              <w:rPr>
                <w:rFonts w:hint="eastAsia"/>
                <w:lang w:val="en-US"/>
              </w:rPr>
              <w:t>投药泵</w:t>
            </w:r>
          </w:p>
        </w:tc>
        <w:tc>
          <w:tcPr>
            <w:tcW w:w="3120" w:type="dxa"/>
            <w:noWrap w:val="0"/>
            <w:vAlign w:val="top"/>
          </w:tcPr>
          <w:p>
            <w:pPr>
              <w:rPr>
                <w:rFonts w:hint="eastAsia"/>
                <w:lang w:val="en-US"/>
              </w:rPr>
            </w:pPr>
            <w:r>
              <w:rPr>
                <w:rFonts w:hint="eastAsia"/>
                <w:lang w:val="en-US"/>
              </w:rPr>
              <w:t xml:space="preserve">IH50-32-125 </w:t>
            </w:r>
          </w:p>
          <w:p>
            <w:pPr>
              <w:rPr>
                <w:rFonts w:hint="eastAsia"/>
                <w:lang w:val="en-US"/>
              </w:rPr>
            </w:pPr>
            <w:r>
              <w:rPr>
                <w:rFonts w:hint="eastAsia"/>
                <w:lang w:val="en-US"/>
              </w:rPr>
              <w:t xml:space="preserve">流量 Q=12.5m3/h </w:t>
            </w:r>
          </w:p>
          <w:p>
            <w:pPr>
              <w:rPr>
                <w:rFonts w:hint="eastAsia"/>
                <w:lang w:val="en-US"/>
              </w:rPr>
            </w:pPr>
            <w:r>
              <w:rPr>
                <w:rFonts w:hint="eastAsia"/>
                <w:lang w:val="en-US"/>
              </w:rPr>
              <w:t xml:space="preserve">扬程 H=20m </w:t>
            </w:r>
          </w:p>
          <w:p>
            <w:pPr>
              <w:rPr>
                <w:rFonts w:hint="eastAsia"/>
                <w:lang w:val="en-US"/>
              </w:rPr>
            </w:pPr>
            <w:r>
              <w:rPr>
                <w:rFonts w:hint="eastAsia"/>
                <w:lang w:val="en-US"/>
              </w:rPr>
              <w:t>电机功率 N=2.2kW</w:t>
            </w:r>
          </w:p>
        </w:tc>
        <w:tc>
          <w:tcPr>
            <w:tcW w:w="810" w:type="dxa"/>
            <w:noWrap w:val="0"/>
            <w:vAlign w:val="top"/>
          </w:tcPr>
          <w:p>
            <w:pPr>
              <w:rPr>
                <w:rFonts w:hint="eastAsia"/>
                <w:lang w:val="en-US"/>
              </w:rPr>
            </w:pPr>
            <w:r>
              <w:rPr>
                <w:rFonts w:hint="eastAsia"/>
                <w:lang w:val="en-US"/>
              </w:rPr>
              <w:t>SS304</w:t>
            </w:r>
          </w:p>
        </w:tc>
        <w:tc>
          <w:tcPr>
            <w:tcW w:w="915" w:type="dxa"/>
            <w:noWrap w:val="0"/>
            <w:vAlign w:val="top"/>
          </w:tcPr>
          <w:p>
            <w:pPr>
              <w:rPr>
                <w:rFonts w:hint="eastAsia"/>
                <w:lang w:val="en-US"/>
              </w:rPr>
            </w:pPr>
            <w:r>
              <w:rPr>
                <w:rFonts w:hint="eastAsia"/>
                <w:lang w:val="en-US"/>
              </w:rPr>
              <w:t>4台</w:t>
            </w:r>
          </w:p>
        </w:tc>
        <w:tc>
          <w:tcPr>
            <w:tcW w:w="1133" w:type="dxa"/>
            <w:noWrap w:val="0"/>
            <w:vAlign w:val="top"/>
          </w:tcPr>
          <w:p>
            <w:pPr>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rPr>
                <w:lang w:val="en-US"/>
              </w:rPr>
            </w:pPr>
            <w:r>
              <w:rPr>
                <w:rFonts w:hint="eastAsia"/>
                <w:lang w:val="en-US"/>
              </w:rPr>
              <w:t>4</w:t>
            </w:r>
          </w:p>
        </w:tc>
        <w:tc>
          <w:tcPr>
            <w:tcW w:w="1209" w:type="dxa"/>
            <w:noWrap w:val="0"/>
            <w:vAlign w:val="top"/>
          </w:tcPr>
          <w:p>
            <w:pPr>
              <w:rPr>
                <w:rFonts w:hint="eastAsia"/>
                <w:lang w:val="en-US"/>
              </w:rPr>
            </w:pPr>
            <w:r>
              <w:rPr>
                <w:rFonts w:hint="eastAsia"/>
                <w:lang w:val="en-US"/>
              </w:rPr>
              <w:t>轴流风机</w:t>
            </w:r>
          </w:p>
        </w:tc>
        <w:tc>
          <w:tcPr>
            <w:tcW w:w="3120" w:type="dxa"/>
            <w:noWrap w:val="0"/>
            <w:vAlign w:val="top"/>
          </w:tcPr>
          <w:p>
            <w:pPr>
              <w:rPr>
                <w:rFonts w:hint="eastAsia"/>
                <w:lang w:val="en-US"/>
              </w:rPr>
            </w:pPr>
            <w:r>
              <w:rPr>
                <w:rFonts w:hint="eastAsia"/>
                <w:lang w:val="en-US"/>
              </w:rPr>
              <w:t xml:space="preserve">T35-11-5 </w:t>
            </w:r>
          </w:p>
          <w:p>
            <w:pPr>
              <w:rPr>
                <w:rFonts w:hint="eastAsia"/>
                <w:lang w:val="en-US"/>
              </w:rPr>
            </w:pPr>
            <w:r>
              <w:rPr>
                <w:rFonts w:hint="eastAsia"/>
                <w:lang w:val="en-US"/>
              </w:rPr>
              <w:t xml:space="preserve">直径：500 </w:t>
            </w:r>
          </w:p>
          <w:p>
            <w:pPr>
              <w:rPr>
                <w:rFonts w:hint="eastAsia"/>
                <w:lang w:val="en-US"/>
              </w:rPr>
            </w:pPr>
            <w:r>
              <w:rPr>
                <w:rFonts w:hint="eastAsia"/>
                <w:lang w:val="en-US"/>
              </w:rPr>
              <w:t xml:space="preserve">风量：5000m3/h </w:t>
            </w:r>
          </w:p>
          <w:p>
            <w:pPr>
              <w:rPr>
                <w:rFonts w:hint="eastAsia"/>
                <w:lang w:val="en-US"/>
              </w:rPr>
            </w:pPr>
            <w:r>
              <w:rPr>
                <w:rFonts w:hint="eastAsia"/>
                <w:lang w:val="en-US"/>
              </w:rPr>
              <w:t xml:space="preserve">全压：60Pa </w:t>
            </w:r>
          </w:p>
          <w:p>
            <w:pPr>
              <w:rPr>
                <w:rFonts w:hint="eastAsia"/>
                <w:lang w:val="en-US"/>
              </w:rPr>
            </w:pPr>
            <w:r>
              <w:rPr>
                <w:rFonts w:hint="eastAsia"/>
                <w:lang w:val="en-US"/>
              </w:rPr>
              <w:t xml:space="preserve">转速：1450rpm </w:t>
            </w:r>
          </w:p>
          <w:p>
            <w:pPr>
              <w:rPr>
                <w:rFonts w:hint="eastAsia"/>
                <w:lang w:val="en-US"/>
              </w:rPr>
            </w:pPr>
            <w:r>
              <w:rPr>
                <w:rFonts w:hint="eastAsia"/>
                <w:lang w:val="en-US"/>
              </w:rPr>
              <w:t>功率：0.37kW</w:t>
            </w:r>
          </w:p>
        </w:tc>
        <w:tc>
          <w:tcPr>
            <w:tcW w:w="810" w:type="dxa"/>
            <w:noWrap w:val="0"/>
            <w:vAlign w:val="top"/>
          </w:tcPr>
          <w:p>
            <w:pPr>
              <w:rPr>
                <w:rFonts w:hint="eastAsia"/>
                <w:lang w:val="en-US"/>
              </w:rPr>
            </w:pPr>
            <w:r>
              <w:rPr>
                <w:rFonts w:hint="eastAsia"/>
                <w:lang w:val="en-US"/>
              </w:rPr>
              <w:t>组合</w:t>
            </w:r>
          </w:p>
        </w:tc>
        <w:tc>
          <w:tcPr>
            <w:tcW w:w="915" w:type="dxa"/>
            <w:noWrap w:val="0"/>
            <w:vAlign w:val="top"/>
          </w:tcPr>
          <w:p>
            <w:pPr>
              <w:rPr>
                <w:rFonts w:hint="eastAsia"/>
                <w:lang w:val="en-US"/>
              </w:rPr>
            </w:pPr>
            <w:r>
              <w:rPr>
                <w:rFonts w:hint="eastAsia"/>
                <w:lang w:val="en-US"/>
              </w:rPr>
              <w:t>2台</w:t>
            </w:r>
          </w:p>
        </w:tc>
        <w:tc>
          <w:tcPr>
            <w:tcW w:w="1133" w:type="dxa"/>
            <w:noWrap w:val="0"/>
            <w:vAlign w:val="top"/>
          </w:tcPr>
          <w:p>
            <w:pPr>
              <w:rPr>
                <w:rFonts w:hint="eastAsia"/>
                <w:lang w:val="en-US"/>
              </w:rPr>
            </w:pPr>
          </w:p>
        </w:tc>
      </w:tr>
    </w:tbl>
    <w:p>
      <w:pPr>
        <w:autoSpaceDE/>
        <w:autoSpaceDN/>
        <w:spacing w:line="360" w:lineRule="auto"/>
        <w:rPr>
          <w:rFonts w:hint="eastAsia" w:ascii="宋体" w:hAnsi="宋体"/>
          <w:b/>
          <w:bCs/>
          <w:sz w:val="21"/>
          <w:szCs w:val="21"/>
          <w:lang w:val="en-US"/>
        </w:rPr>
      </w:pPr>
    </w:p>
    <w:p>
      <w:pPr>
        <w:autoSpaceDE/>
        <w:autoSpaceDN/>
        <w:spacing w:line="360" w:lineRule="auto"/>
        <w:rPr>
          <w:rFonts w:hint="eastAsia" w:ascii="宋体" w:hAnsi="宋体"/>
          <w:b/>
          <w:bCs/>
          <w:sz w:val="21"/>
          <w:szCs w:val="21"/>
          <w:lang w:val="en-US"/>
        </w:rPr>
      </w:pPr>
      <w:r>
        <w:rPr>
          <w:rFonts w:hint="eastAsia" w:ascii="宋体" w:hAnsi="宋体"/>
          <w:b/>
          <w:bCs/>
          <w:sz w:val="21"/>
          <w:szCs w:val="21"/>
          <w:lang w:val="en-US"/>
        </w:rPr>
        <w:t>提标改造工程主要设备表</w:t>
      </w:r>
    </w:p>
    <w:tbl>
      <w:tblPr>
        <w:tblStyle w:val="10"/>
        <w:tblpPr w:leftFromText="180" w:rightFromText="180" w:vertAnchor="text" w:horzAnchor="page" w:tblpX="1696" w:tblpY="5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40"/>
        <w:gridCol w:w="990"/>
        <w:gridCol w:w="2175"/>
        <w:gridCol w:w="1965"/>
        <w:gridCol w:w="570"/>
        <w:gridCol w:w="54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rFonts w:hint="eastAsia"/>
              </w:rPr>
            </w:pPr>
            <w:r>
              <w:rPr>
                <w:rFonts w:hint="eastAsia"/>
              </w:rPr>
              <w:t>序号</w:t>
            </w:r>
          </w:p>
        </w:tc>
        <w:tc>
          <w:tcPr>
            <w:tcW w:w="840" w:type="dxa"/>
            <w:noWrap w:val="0"/>
            <w:vAlign w:val="top"/>
          </w:tcPr>
          <w:p>
            <w:pPr>
              <w:rPr>
                <w:rFonts w:hint="eastAsia"/>
              </w:rPr>
            </w:pPr>
            <w:r>
              <w:rPr>
                <w:rFonts w:hint="eastAsia"/>
              </w:rPr>
              <w:t>设备名称</w:t>
            </w:r>
          </w:p>
        </w:tc>
        <w:tc>
          <w:tcPr>
            <w:tcW w:w="990" w:type="dxa"/>
            <w:noWrap w:val="0"/>
            <w:vAlign w:val="top"/>
          </w:tcPr>
          <w:p>
            <w:pPr>
              <w:rPr>
                <w:rFonts w:hint="eastAsia"/>
              </w:rPr>
            </w:pPr>
            <w:r>
              <w:rPr>
                <w:rFonts w:hint="eastAsia"/>
              </w:rPr>
              <w:t>规格型号</w:t>
            </w:r>
          </w:p>
        </w:tc>
        <w:tc>
          <w:tcPr>
            <w:tcW w:w="2175" w:type="dxa"/>
            <w:noWrap w:val="0"/>
            <w:vAlign w:val="top"/>
          </w:tcPr>
          <w:p>
            <w:pPr>
              <w:rPr>
                <w:rFonts w:hint="eastAsia"/>
              </w:rPr>
            </w:pPr>
            <w:r>
              <w:rPr>
                <w:rFonts w:hint="eastAsia"/>
              </w:rPr>
              <w:t>技术参数</w:t>
            </w:r>
          </w:p>
        </w:tc>
        <w:tc>
          <w:tcPr>
            <w:tcW w:w="1965" w:type="dxa"/>
            <w:noWrap w:val="0"/>
            <w:vAlign w:val="top"/>
          </w:tcPr>
          <w:p>
            <w:pPr>
              <w:rPr>
                <w:rFonts w:hint="eastAsia"/>
              </w:rPr>
            </w:pPr>
            <w:r>
              <w:rPr>
                <w:rFonts w:hint="eastAsia"/>
              </w:rPr>
              <w:t>主材</w:t>
            </w:r>
          </w:p>
        </w:tc>
        <w:tc>
          <w:tcPr>
            <w:tcW w:w="570" w:type="dxa"/>
            <w:noWrap w:val="0"/>
            <w:vAlign w:val="top"/>
          </w:tcPr>
          <w:p>
            <w:pPr>
              <w:rPr>
                <w:rFonts w:hint="eastAsia"/>
              </w:rPr>
            </w:pPr>
            <w:r>
              <w:rPr>
                <w:rFonts w:hint="eastAsia"/>
              </w:rPr>
              <w:t>单位</w:t>
            </w:r>
          </w:p>
        </w:tc>
        <w:tc>
          <w:tcPr>
            <w:tcW w:w="540" w:type="dxa"/>
            <w:noWrap w:val="0"/>
            <w:vAlign w:val="top"/>
          </w:tcPr>
          <w:p>
            <w:pPr>
              <w:rPr>
                <w:rFonts w:hint="eastAsia"/>
              </w:rPr>
            </w:pPr>
            <w:r>
              <w:rPr>
                <w:rFonts w:hint="eastAsia"/>
              </w:rPr>
              <w:t>数量</w:t>
            </w:r>
          </w:p>
        </w:tc>
        <w:tc>
          <w:tcPr>
            <w:tcW w:w="698" w:type="dxa"/>
            <w:noWrap w:val="0"/>
            <w:vAlign w:val="top"/>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rPr>
                <w:rFonts w:hint="eastAsia"/>
              </w:rPr>
            </w:pPr>
            <w:r>
              <w:rPr>
                <w:rFonts w:hint="eastAsia"/>
              </w:rPr>
              <w:t>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1</w:t>
            </w:r>
          </w:p>
        </w:tc>
        <w:tc>
          <w:tcPr>
            <w:tcW w:w="840" w:type="dxa"/>
            <w:noWrap w:val="0"/>
            <w:vAlign w:val="top"/>
          </w:tcPr>
          <w:p>
            <w:pPr>
              <w:rPr>
                <w:rFonts w:hint="eastAsia"/>
              </w:rPr>
            </w:pPr>
            <w:r>
              <w:rPr>
                <w:rFonts w:hint="eastAsia"/>
              </w:rPr>
              <w:t>闸阀</w:t>
            </w:r>
          </w:p>
        </w:tc>
        <w:tc>
          <w:tcPr>
            <w:tcW w:w="990" w:type="dxa"/>
            <w:noWrap w:val="0"/>
            <w:vAlign w:val="top"/>
          </w:tcPr>
          <w:p>
            <w:pPr>
              <w:rPr>
                <w:rFonts w:hint="eastAsia"/>
              </w:rPr>
            </w:pPr>
            <w:r>
              <w:rPr>
                <w:rFonts w:hint="eastAsia"/>
              </w:rPr>
              <w:t>Z545X- 10Q</w:t>
            </w:r>
          </w:p>
        </w:tc>
        <w:tc>
          <w:tcPr>
            <w:tcW w:w="2175" w:type="dxa"/>
            <w:noWrap w:val="0"/>
            <w:vAlign w:val="top"/>
          </w:tcPr>
          <w:p>
            <w:pPr>
              <w:rPr>
                <w:rFonts w:hint="eastAsia"/>
              </w:rPr>
            </w:pPr>
            <w:r>
              <w:rPr>
                <w:rFonts w:hint="eastAsia"/>
              </w:rPr>
              <w:t>DN900，Pn1.0</w:t>
            </w:r>
          </w:p>
        </w:tc>
        <w:tc>
          <w:tcPr>
            <w:tcW w:w="1965" w:type="dxa"/>
            <w:noWrap w:val="0"/>
            <w:vAlign w:val="top"/>
          </w:tcPr>
          <w:p>
            <w:pPr>
              <w:rPr>
                <w:rFonts w:hint="eastAsia"/>
              </w:rPr>
            </w:pPr>
            <w:r>
              <w:rPr>
                <w:rFonts w:hint="eastAsia"/>
              </w:rPr>
              <w:t>CL</w:t>
            </w:r>
          </w:p>
        </w:tc>
        <w:tc>
          <w:tcPr>
            <w:tcW w:w="570" w:type="dxa"/>
            <w:noWrap w:val="0"/>
            <w:vAlign w:val="top"/>
          </w:tcPr>
          <w:p>
            <w:pPr>
              <w:rPr>
                <w:rFonts w:hint="eastAsia"/>
              </w:rPr>
            </w:pPr>
            <w:r>
              <w:rPr>
                <w:rFonts w:hint="eastAsia"/>
              </w:rPr>
              <w:t>个</w:t>
            </w:r>
          </w:p>
        </w:tc>
        <w:tc>
          <w:tcPr>
            <w:tcW w:w="540" w:type="dxa"/>
            <w:noWrap w:val="0"/>
            <w:vAlign w:val="top"/>
          </w:tcPr>
          <w:p>
            <w:pPr>
              <w:rPr>
                <w:rFonts w:hint="eastAsia"/>
              </w:rPr>
            </w:pPr>
            <w:r>
              <w:rPr>
                <w:rFonts w:hint="eastAsia"/>
              </w:rPr>
              <w:t>1</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rPr>
                <w:rFonts w:hint="eastAsia"/>
              </w:rPr>
            </w:pPr>
            <w:r>
              <w:rPr>
                <w:rFonts w:hint="eastAsia"/>
              </w:rPr>
              <w:t>配水井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2</w:t>
            </w:r>
          </w:p>
        </w:tc>
        <w:tc>
          <w:tcPr>
            <w:tcW w:w="840" w:type="dxa"/>
            <w:noWrap w:val="0"/>
            <w:vAlign w:val="top"/>
          </w:tcPr>
          <w:p>
            <w:pPr>
              <w:rPr>
                <w:rFonts w:hint="eastAsia"/>
              </w:rPr>
            </w:pPr>
            <w:r>
              <w:rPr>
                <w:rFonts w:hint="eastAsia"/>
              </w:rPr>
              <w:t>转轮式过 滤器</w:t>
            </w:r>
          </w:p>
        </w:tc>
        <w:tc>
          <w:tcPr>
            <w:tcW w:w="990" w:type="dxa"/>
            <w:noWrap w:val="0"/>
            <w:vAlign w:val="top"/>
          </w:tcPr>
          <w:p>
            <w:pPr>
              <w:rPr>
                <w:rFonts w:hint="eastAsia"/>
              </w:rPr>
            </w:pPr>
          </w:p>
        </w:tc>
        <w:tc>
          <w:tcPr>
            <w:tcW w:w="2175" w:type="dxa"/>
            <w:noWrap w:val="0"/>
            <w:vAlign w:val="top"/>
          </w:tcPr>
          <w:p>
            <w:pPr>
              <w:rPr>
                <w:rFonts w:hint="eastAsia"/>
              </w:rPr>
            </w:pPr>
            <w:r>
              <w:rPr>
                <w:rFonts w:hint="eastAsia"/>
              </w:rPr>
              <w:t xml:space="preserve">过滤精度：80目 </w:t>
            </w:r>
          </w:p>
          <w:p>
            <w:pPr>
              <w:rPr>
                <w:rFonts w:hint="eastAsia"/>
              </w:rPr>
            </w:pPr>
            <w:r>
              <w:rPr>
                <w:rFonts w:hint="eastAsia"/>
              </w:rPr>
              <w:t xml:space="preserve">功率0.55kw </w:t>
            </w:r>
          </w:p>
          <w:p>
            <w:pPr>
              <w:rPr>
                <w:rFonts w:hint="eastAsia"/>
              </w:rPr>
            </w:pPr>
            <w:r>
              <w:rPr>
                <w:rFonts w:hint="eastAsia"/>
              </w:rPr>
              <w:t xml:space="preserve">配套清洗水泵：5- 12m3/h，0.62-0. 39MPa，1.5kw </w:t>
            </w:r>
          </w:p>
          <w:p>
            <w:pPr>
              <w:rPr>
                <w:rFonts w:hint="eastAsia"/>
              </w:rPr>
            </w:pPr>
            <w:r>
              <w:rPr>
                <w:rFonts w:hint="eastAsia"/>
              </w:rPr>
              <w:t>电柜一控二</w:t>
            </w:r>
          </w:p>
        </w:tc>
        <w:tc>
          <w:tcPr>
            <w:tcW w:w="1965" w:type="dxa"/>
            <w:noWrap w:val="0"/>
            <w:vAlign w:val="top"/>
          </w:tcPr>
          <w:p>
            <w:pPr>
              <w:rPr>
                <w:rFonts w:hint="eastAsia"/>
              </w:rPr>
            </w:pPr>
            <w:r>
              <w:rPr>
                <w:rFonts w:hint="eastAsia"/>
              </w:rPr>
              <w:t>不锈钢</w:t>
            </w:r>
          </w:p>
        </w:tc>
        <w:tc>
          <w:tcPr>
            <w:tcW w:w="570" w:type="dxa"/>
            <w:noWrap w:val="0"/>
            <w:vAlign w:val="top"/>
          </w:tcPr>
          <w:p>
            <w:pPr>
              <w:rPr>
                <w:rFonts w:hint="eastAsia"/>
              </w:rPr>
            </w:pPr>
            <w:r>
              <w:rPr>
                <w:rFonts w:hint="eastAsia"/>
              </w:rPr>
              <w:t>套</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3</w:t>
            </w:r>
          </w:p>
        </w:tc>
        <w:tc>
          <w:tcPr>
            <w:tcW w:w="840" w:type="dxa"/>
            <w:noWrap w:val="0"/>
            <w:vAlign w:val="top"/>
          </w:tcPr>
          <w:p>
            <w:pPr>
              <w:rPr>
                <w:rFonts w:hint="eastAsia"/>
              </w:rPr>
            </w:pPr>
            <w:r>
              <w:rPr>
                <w:rFonts w:hint="eastAsia"/>
              </w:rPr>
              <w:t>闸阀</w:t>
            </w:r>
          </w:p>
        </w:tc>
        <w:tc>
          <w:tcPr>
            <w:tcW w:w="990" w:type="dxa"/>
            <w:noWrap w:val="0"/>
            <w:vAlign w:val="top"/>
          </w:tcPr>
          <w:p>
            <w:pPr>
              <w:rPr>
                <w:rFonts w:hint="eastAsia"/>
              </w:rPr>
            </w:pPr>
            <w:r>
              <w:rPr>
                <w:rFonts w:hint="eastAsia"/>
              </w:rPr>
              <w:t>Z45X-1 0Q</w:t>
            </w:r>
          </w:p>
        </w:tc>
        <w:tc>
          <w:tcPr>
            <w:tcW w:w="2175" w:type="dxa"/>
            <w:noWrap w:val="0"/>
            <w:vAlign w:val="top"/>
          </w:tcPr>
          <w:p>
            <w:pPr>
              <w:rPr>
                <w:rFonts w:hint="eastAsia"/>
              </w:rPr>
            </w:pPr>
            <w:r>
              <w:rPr>
                <w:rFonts w:hint="eastAsia"/>
              </w:rPr>
              <w:t>DN700，Pn1.0</w:t>
            </w:r>
          </w:p>
        </w:tc>
        <w:tc>
          <w:tcPr>
            <w:tcW w:w="1965" w:type="dxa"/>
            <w:noWrap w:val="0"/>
            <w:vAlign w:val="top"/>
          </w:tcPr>
          <w:p>
            <w:pPr>
              <w:rPr>
                <w:rFonts w:hint="eastAsia"/>
              </w:rPr>
            </w:pPr>
            <w:r>
              <w:rPr>
                <w:rFonts w:hint="eastAsia"/>
              </w:rPr>
              <w:t>CL</w:t>
            </w:r>
          </w:p>
        </w:tc>
        <w:tc>
          <w:tcPr>
            <w:tcW w:w="570" w:type="dxa"/>
            <w:noWrap w:val="0"/>
            <w:vAlign w:val="top"/>
          </w:tcPr>
          <w:p>
            <w:pPr>
              <w:rPr>
                <w:rFonts w:hint="eastAsia"/>
              </w:rPr>
            </w:pPr>
            <w:r>
              <w:rPr>
                <w:rFonts w:hint="eastAsia"/>
              </w:rPr>
              <w:t>个</w:t>
            </w:r>
          </w:p>
        </w:tc>
        <w:tc>
          <w:tcPr>
            <w:tcW w:w="540" w:type="dxa"/>
            <w:noWrap w:val="0"/>
            <w:vAlign w:val="top"/>
          </w:tcPr>
          <w:p>
            <w:pPr>
              <w:rPr>
                <w:rFonts w:hint="eastAsia"/>
              </w:rPr>
            </w:pPr>
            <w:r>
              <w:rPr>
                <w:rFonts w:hint="eastAsia"/>
              </w:rPr>
              <w:t>1</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rPr>
                <w:rFonts w:hint="eastAsia"/>
              </w:rPr>
            </w:pPr>
            <w:r>
              <w:rPr>
                <w:rFonts w:hint="eastAsia"/>
              </w:rPr>
              <w:t>精密转盘过滤系统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9" w:hRule="atLeast"/>
        </w:trPr>
        <w:tc>
          <w:tcPr>
            <w:tcW w:w="744" w:type="dxa"/>
            <w:noWrap w:val="0"/>
            <w:vAlign w:val="top"/>
          </w:tcPr>
          <w:p>
            <w:pPr>
              <w:rPr>
                <w:lang w:val="en-US"/>
              </w:rPr>
            </w:pPr>
            <w:r>
              <w:rPr>
                <w:rFonts w:hint="eastAsia"/>
                <w:lang w:val="en-US"/>
              </w:rPr>
              <w:t>4</w:t>
            </w:r>
          </w:p>
        </w:tc>
        <w:tc>
          <w:tcPr>
            <w:tcW w:w="840" w:type="dxa"/>
            <w:noWrap w:val="0"/>
            <w:vAlign w:val="top"/>
          </w:tcPr>
          <w:p>
            <w:pPr>
              <w:rPr>
                <w:rFonts w:hint="eastAsia"/>
              </w:rPr>
            </w:pPr>
            <w:r>
              <w:rPr>
                <w:rFonts w:hint="eastAsia"/>
              </w:rPr>
              <w:t>R型精密 转盘过滤 机</w:t>
            </w:r>
          </w:p>
        </w:tc>
        <w:tc>
          <w:tcPr>
            <w:tcW w:w="990" w:type="dxa"/>
            <w:noWrap w:val="0"/>
            <w:vAlign w:val="top"/>
          </w:tcPr>
          <w:p>
            <w:pPr>
              <w:rPr>
                <w:rFonts w:hint="eastAsia"/>
              </w:rPr>
            </w:pPr>
            <w:r>
              <w:rPr>
                <w:rFonts w:hint="eastAsia"/>
              </w:rPr>
              <w:t>RDF242 4B</w:t>
            </w:r>
          </w:p>
        </w:tc>
        <w:tc>
          <w:tcPr>
            <w:tcW w:w="2175" w:type="dxa"/>
            <w:noWrap w:val="0"/>
            <w:vAlign w:val="top"/>
          </w:tcPr>
          <w:p>
            <w:pPr>
              <w:rPr>
                <w:rFonts w:hint="eastAsia"/>
              </w:rPr>
            </w:pPr>
            <w:r>
              <w:rPr>
                <w:rFonts w:hint="eastAsia"/>
              </w:rPr>
              <w:t xml:space="preserve">形 式：框架式 </w:t>
            </w:r>
          </w:p>
          <w:p>
            <w:pPr>
              <w:rPr>
                <w:rFonts w:hint="eastAsia"/>
              </w:rPr>
            </w:pPr>
            <w:r>
              <w:rPr>
                <w:rFonts w:hint="eastAsia"/>
              </w:rPr>
              <w:t xml:space="preserve">处理能力：19000 m3/d </w:t>
            </w:r>
          </w:p>
          <w:p>
            <w:pPr>
              <w:rPr>
                <w:rFonts w:hint="eastAsia"/>
              </w:rPr>
            </w:pPr>
            <w:r>
              <w:rPr>
                <w:rFonts w:hint="eastAsia"/>
              </w:rPr>
              <w:t xml:space="preserve">进水SS ：≤20 m g/L </w:t>
            </w:r>
          </w:p>
          <w:p>
            <w:pPr>
              <w:rPr>
                <w:rFonts w:hint="eastAsia"/>
              </w:rPr>
            </w:pPr>
            <w:r>
              <w:rPr>
                <w:rFonts w:hint="eastAsia"/>
              </w:rPr>
              <w:t xml:space="preserve">出水SS ：≤10m g/L </w:t>
            </w:r>
          </w:p>
          <w:p>
            <w:pPr>
              <w:rPr>
                <w:rFonts w:hint="eastAsia"/>
              </w:rPr>
            </w:pPr>
            <w:r>
              <w:rPr>
                <w:rFonts w:hint="eastAsia"/>
              </w:rPr>
              <w:t xml:space="preserve">过滤面积：134.4 m2 </w:t>
            </w:r>
          </w:p>
          <w:p>
            <w:pPr>
              <w:rPr>
                <w:rFonts w:hint="eastAsia"/>
              </w:rPr>
            </w:pPr>
            <w:r>
              <w:rPr>
                <w:rFonts w:hint="eastAsia"/>
              </w:rPr>
              <w:t xml:space="preserve">过滤水头：200m mH2O </w:t>
            </w:r>
          </w:p>
          <w:p>
            <w:pPr>
              <w:rPr>
                <w:rFonts w:hint="eastAsia"/>
              </w:rPr>
            </w:pPr>
            <w:r>
              <w:rPr>
                <w:rFonts w:hint="eastAsia"/>
              </w:rPr>
              <w:t xml:space="preserve">滤筒功率：3kW </w:t>
            </w:r>
          </w:p>
          <w:p>
            <w:pPr>
              <w:rPr>
                <w:rFonts w:hint="eastAsia"/>
              </w:rPr>
            </w:pPr>
            <w:r>
              <w:rPr>
                <w:rFonts w:hint="eastAsia"/>
              </w:rPr>
              <w:t>清洗功率：11+11 kW</w:t>
            </w:r>
          </w:p>
        </w:tc>
        <w:tc>
          <w:tcPr>
            <w:tcW w:w="1965" w:type="dxa"/>
            <w:noWrap w:val="0"/>
            <w:vAlign w:val="top"/>
          </w:tcPr>
          <w:p>
            <w:pPr>
              <w:rPr>
                <w:rFonts w:hint="eastAsia"/>
              </w:rPr>
            </w:pPr>
            <w:r>
              <w:rPr>
                <w:rFonts w:hint="eastAsia"/>
              </w:rPr>
              <w:t xml:space="preserve">机架和进水分布 筒：不锈钢304 </w:t>
            </w:r>
          </w:p>
          <w:p>
            <w:pPr>
              <w:rPr>
                <w:rFonts w:hint="eastAsia"/>
              </w:rPr>
            </w:pPr>
            <w:r>
              <w:rPr>
                <w:rFonts w:hint="eastAsia"/>
              </w:rPr>
              <w:t xml:space="preserve">滤布：欧美进口 </w:t>
            </w:r>
          </w:p>
          <w:p>
            <w:pPr>
              <w:rPr>
                <w:rFonts w:hint="eastAsia"/>
              </w:rPr>
            </w:pPr>
            <w:r>
              <w:rPr>
                <w:rFonts w:hint="eastAsia"/>
              </w:rPr>
              <w:t xml:space="preserve">聚酯滤布 </w:t>
            </w:r>
          </w:p>
          <w:p>
            <w:pPr>
              <w:rPr>
                <w:rFonts w:hint="eastAsia"/>
              </w:rPr>
            </w:pPr>
            <w:r>
              <w:rPr>
                <w:rFonts w:hint="eastAsia"/>
              </w:rPr>
              <w:t>减 速 机：Sew 品牌</w:t>
            </w:r>
          </w:p>
          <w:p>
            <w:pPr>
              <w:rPr>
                <w:rFonts w:hint="eastAsia"/>
              </w:rPr>
            </w:pPr>
            <w:r>
              <w:rPr>
                <w:rFonts w:hint="eastAsia"/>
              </w:rPr>
              <w:t>清洗喷嘴：陶瓷 镶嵌</w:t>
            </w:r>
          </w:p>
        </w:tc>
        <w:tc>
          <w:tcPr>
            <w:tcW w:w="570" w:type="dxa"/>
            <w:noWrap w:val="0"/>
            <w:vAlign w:val="top"/>
          </w:tcPr>
          <w:p>
            <w:pPr>
              <w:rPr>
                <w:rFonts w:hint="eastAsia"/>
              </w:rPr>
            </w:pPr>
            <w:r>
              <w:rPr>
                <w:rFonts w:hint="eastAsia"/>
              </w:rPr>
              <w:t>套</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5</w:t>
            </w:r>
          </w:p>
        </w:tc>
        <w:tc>
          <w:tcPr>
            <w:tcW w:w="840" w:type="dxa"/>
            <w:noWrap w:val="0"/>
            <w:vAlign w:val="top"/>
          </w:tcPr>
          <w:p>
            <w:pPr>
              <w:rPr>
                <w:rFonts w:hint="eastAsia"/>
              </w:rPr>
            </w:pPr>
            <w:r>
              <w:rPr>
                <w:rFonts w:hint="eastAsia"/>
              </w:rPr>
              <w:t>搅拌机</w:t>
            </w:r>
          </w:p>
        </w:tc>
        <w:tc>
          <w:tcPr>
            <w:tcW w:w="990" w:type="dxa"/>
            <w:noWrap w:val="0"/>
            <w:vAlign w:val="top"/>
          </w:tcPr>
          <w:p>
            <w:pPr>
              <w:rPr>
                <w:rFonts w:hint="eastAsia"/>
              </w:rPr>
            </w:pPr>
            <w:r>
              <w:rPr>
                <w:rFonts w:hint="eastAsia"/>
              </w:rPr>
              <w:t>Jh-2.9× 2</w:t>
            </w:r>
          </w:p>
        </w:tc>
        <w:tc>
          <w:tcPr>
            <w:tcW w:w="2175" w:type="dxa"/>
            <w:noWrap w:val="0"/>
            <w:vAlign w:val="top"/>
          </w:tcPr>
          <w:p>
            <w:pPr>
              <w:rPr>
                <w:rFonts w:hint="eastAsia"/>
              </w:rPr>
            </w:pPr>
            <w:r>
              <w:rPr>
                <w:rFonts w:hint="eastAsia"/>
              </w:rPr>
              <w:t xml:space="preserve">池子尺寸：3×2.9 ×2(H)m； </w:t>
            </w:r>
          </w:p>
          <w:p>
            <w:pPr>
              <w:rPr>
                <w:rFonts w:hint="eastAsia"/>
              </w:rPr>
            </w:pPr>
            <w:r>
              <w:rPr>
                <w:rFonts w:hint="eastAsia"/>
              </w:rPr>
              <w:t>有效深度：1.088 m</w:t>
            </w:r>
          </w:p>
          <w:p>
            <w:pPr>
              <w:rPr>
                <w:rFonts w:hint="eastAsia"/>
              </w:rPr>
            </w:pPr>
            <w:r>
              <w:rPr>
                <w:rFonts w:hint="eastAsia"/>
              </w:rPr>
              <w:t xml:space="preserve">单层桨叶折浆式 </w:t>
            </w:r>
          </w:p>
          <w:p>
            <w:pPr>
              <w:rPr>
                <w:rFonts w:hint="eastAsia"/>
              </w:rPr>
            </w:pPr>
            <w:r>
              <w:rPr>
                <w:rFonts w:hint="eastAsia"/>
              </w:rPr>
              <w:t xml:space="preserve">桨叶直径：1450 mm电机功率：2.2kW </w:t>
            </w:r>
          </w:p>
          <w:p>
            <w:pPr>
              <w:rPr>
                <w:rFonts w:hint="eastAsia"/>
              </w:rPr>
            </w:pPr>
            <w:r>
              <w:rPr>
                <w:rFonts w:hint="eastAsia"/>
              </w:rPr>
              <w:t>转速：43rpm</w:t>
            </w:r>
          </w:p>
        </w:tc>
        <w:tc>
          <w:tcPr>
            <w:tcW w:w="1965" w:type="dxa"/>
            <w:noWrap w:val="0"/>
            <w:vAlign w:val="top"/>
          </w:tcPr>
          <w:p>
            <w:pPr>
              <w:rPr>
                <w:rFonts w:hint="eastAsia"/>
              </w:rPr>
            </w:pPr>
            <w:r>
              <w:rPr>
                <w:rFonts w:hint="eastAsia"/>
              </w:rPr>
              <w:t xml:space="preserve">水上部分:组合 </w:t>
            </w:r>
          </w:p>
          <w:p>
            <w:pPr>
              <w:rPr>
                <w:rFonts w:hint="eastAsia"/>
              </w:rPr>
            </w:pPr>
            <w:r>
              <w:rPr>
                <w:rFonts w:hint="eastAsia"/>
              </w:rPr>
              <w:t xml:space="preserve">材质； </w:t>
            </w:r>
          </w:p>
          <w:p>
            <w:pPr>
              <w:rPr>
                <w:rFonts w:hint="eastAsia"/>
              </w:rPr>
            </w:pPr>
            <w:r>
              <w:rPr>
                <w:rFonts w:hint="eastAsia"/>
              </w:rPr>
              <w:t xml:space="preserve">水下部分：不锈 钢304； </w:t>
            </w:r>
          </w:p>
          <w:p>
            <w:pPr>
              <w:rPr>
                <w:rFonts w:hint="eastAsia"/>
              </w:rPr>
            </w:pPr>
            <w:r>
              <w:rPr>
                <w:rFonts w:hint="eastAsia"/>
              </w:rPr>
              <w:t xml:space="preserve">标准联接件：不 锈钢304； </w:t>
            </w:r>
          </w:p>
          <w:p>
            <w:pPr>
              <w:rPr>
                <w:rFonts w:hint="eastAsia"/>
              </w:rPr>
            </w:pPr>
            <w:r>
              <w:rPr>
                <w:rFonts w:hint="eastAsia"/>
              </w:rPr>
              <w:t>轴承：哈瓦洛品 牌</w:t>
            </w:r>
          </w:p>
          <w:p>
            <w:pPr>
              <w:rPr>
                <w:rFonts w:hint="eastAsia"/>
              </w:rPr>
            </w:pPr>
            <w:r>
              <w:rPr>
                <w:rFonts w:hint="eastAsia"/>
              </w:rPr>
              <w:t xml:space="preserve">减速机电机：S EW减速机 </w:t>
            </w:r>
          </w:p>
          <w:p>
            <w:pPr>
              <w:rPr>
                <w:rFonts w:hint="eastAsia"/>
              </w:rPr>
            </w:pPr>
            <w:r>
              <w:rPr>
                <w:rFonts w:hint="eastAsia"/>
              </w:rPr>
              <w:t>变频电机</w:t>
            </w:r>
          </w:p>
        </w:tc>
        <w:tc>
          <w:tcPr>
            <w:tcW w:w="570" w:type="dxa"/>
            <w:noWrap w:val="0"/>
            <w:vAlign w:val="top"/>
          </w:tcPr>
          <w:p>
            <w:pPr>
              <w:rPr>
                <w:rFonts w:hint="eastAsia"/>
              </w:rPr>
            </w:pPr>
            <w:r>
              <w:rPr>
                <w:rFonts w:hint="eastAsia"/>
              </w:rPr>
              <w:t>套</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6</w:t>
            </w:r>
          </w:p>
        </w:tc>
        <w:tc>
          <w:tcPr>
            <w:tcW w:w="840" w:type="dxa"/>
            <w:noWrap w:val="0"/>
            <w:vAlign w:val="top"/>
          </w:tcPr>
          <w:p>
            <w:pPr>
              <w:rPr>
                <w:rFonts w:hint="eastAsia"/>
              </w:rPr>
            </w:pPr>
            <w:r>
              <w:rPr>
                <w:rFonts w:hint="eastAsia"/>
              </w:rPr>
              <w:t>手动法兰 蝶阀</w:t>
            </w:r>
          </w:p>
        </w:tc>
        <w:tc>
          <w:tcPr>
            <w:tcW w:w="990" w:type="dxa"/>
            <w:noWrap w:val="0"/>
            <w:vAlign w:val="top"/>
          </w:tcPr>
          <w:p>
            <w:pPr>
              <w:rPr>
                <w:rFonts w:hint="eastAsia"/>
              </w:rPr>
            </w:pPr>
            <w:r>
              <w:rPr>
                <w:rFonts w:hint="eastAsia"/>
              </w:rPr>
              <w:t>D341X- 10</w:t>
            </w:r>
          </w:p>
        </w:tc>
        <w:tc>
          <w:tcPr>
            <w:tcW w:w="2175" w:type="dxa"/>
            <w:noWrap w:val="0"/>
            <w:vAlign w:val="top"/>
          </w:tcPr>
          <w:p>
            <w:pPr>
              <w:rPr>
                <w:rFonts w:hint="eastAsia"/>
              </w:rPr>
            </w:pPr>
            <w:r>
              <w:rPr>
                <w:rFonts w:hint="eastAsia"/>
              </w:rPr>
              <w:t>DN600 PN1.0MPa</w:t>
            </w:r>
          </w:p>
        </w:tc>
        <w:tc>
          <w:tcPr>
            <w:tcW w:w="1965" w:type="dxa"/>
            <w:noWrap w:val="0"/>
            <w:vAlign w:val="top"/>
          </w:tcPr>
          <w:p>
            <w:pPr>
              <w:rPr>
                <w:rFonts w:hint="eastAsia"/>
              </w:rPr>
            </w:pPr>
            <w:r>
              <w:rPr>
                <w:rFonts w:hint="eastAsia"/>
              </w:rPr>
              <w:t>铸铁</w:t>
            </w:r>
          </w:p>
        </w:tc>
        <w:tc>
          <w:tcPr>
            <w:tcW w:w="570" w:type="dxa"/>
            <w:noWrap w:val="0"/>
            <w:vAlign w:val="top"/>
          </w:tcPr>
          <w:p>
            <w:pPr>
              <w:rPr>
                <w:rFonts w:hint="eastAsia"/>
              </w:rPr>
            </w:pPr>
            <w:r>
              <w:rPr>
                <w:rFonts w:hint="eastAsia"/>
              </w:rPr>
              <w:t>个</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7</w:t>
            </w:r>
          </w:p>
        </w:tc>
        <w:tc>
          <w:tcPr>
            <w:tcW w:w="840" w:type="dxa"/>
            <w:noWrap w:val="0"/>
            <w:vAlign w:val="top"/>
          </w:tcPr>
          <w:p>
            <w:pPr>
              <w:rPr>
                <w:rFonts w:hint="eastAsia"/>
              </w:rPr>
            </w:pPr>
            <w:r>
              <w:rPr>
                <w:rFonts w:hint="eastAsia"/>
              </w:rPr>
              <w:t>电动法兰 蝶阀</w:t>
            </w:r>
          </w:p>
        </w:tc>
        <w:tc>
          <w:tcPr>
            <w:tcW w:w="990" w:type="dxa"/>
            <w:noWrap w:val="0"/>
            <w:vAlign w:val="top"/>
          </w:tcPr>
          <w:p>
            <w:pPr>
              <w:rPr>
                <w:rFonts w:hint="eastAsia"/>
              </w:rPr>
            </w:pPr>
            <w:r>
              <w:rPr>
                <w:rFonts w:hint="eastAsia"/>
              </w:rPr>
              <w:t>D941X- 10</w:t>
            </w:r>
          </w:p>
        </w:tc>
        <w:tc>
          <w:tcPr>
            <w:tcW w:w="2175" w:type="dxa"/>
            <w:noWrap w:val="0"/>
            <w:vAlign w:val="top"/>
          </w:tcPr>
          <w:p>
            <w:pPr>
              <w:rPr>
                <w:rFonts w:hint="eastAsia"/>
              </w:rPr>
            </w:pPr>
            <w:r>
              <w:rPr>
                <w:rFonts w:hint="eastAsia"/>
              </w:rPr>
              <w:t>DN600 PN1.0MPa</w:t>
            </w:r>
          </w:p>
        </w:tc>
        <w:tc>
          <w:tcPr>
            <w:tcW w:w="1965" w:type="dxa"/>
            <w:noWrap w:val="0"/>
            <w:vAlign w:val="top"/>
          </w:tcPr>
          <w:p>
            <w:pPr>
              <w:rPr>
                <w:rFonts w:hint="eastAsia"/>
              </w:rPr>
            </w:pPr>
            <w:r>
              <w:rPr>
                <w:rFonts w:hint="eastAsia"/>
              </w:rPr>
              <w:t>铸铁</w:t>
            </w:r>
          </w:p>
        </w:tc>
        <w:tc>
          <w:tcPr>
            <w:tcW w:w="570" w:type="dxa"/>
            <w:noWrap w:val="0"/>
            <w:vAlign w:val="top"/>
          </w:tcPr>
          <w:p>
            <w:pPr>
              <w:rPr>
                <w:rFonts w:hint="eastAsia"/>
              </w:rPr>
            </w:pPr>
            <w:r>
              <w:rPr>
                <w:rFonts w:hint="eastAsia"/>
              </w:rPr>
              <w:t>个</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8</w:t>
            </w:r>
          </w:p>
        </w:tc>
        <w:tc>
          <w:tcPr>
            <w:tcW w:w="840" w:type="dxa"/>
            <w:noWrap w:val="0"/>
            <w:vAlign w:val="top"/>
          </w:tcPr>
          <w:p>
            <w:pPr>
              <w:rPr>
                <w:rFonts w:hint="eastAsia"/>
              </w:rPr>
            </w:pPr>
            <w:r>
              <w:rPr>
                <w:rFonts w:hint="eastAsia"/>
              </w:rPr>
              <w:t>非标不锈 钢箱体</w:t>
            </w:r>
          </w:p>
        </w:tc>
        <w:tc>
          <w:tcPr>
            <w:tcW w:w="990" w:type="dxa"/>
            <w:noWrap w:val="0"/>
            <w:vAlign w:val="top"/>
          </w:tcPr>
          <w:p>
            <w:pPr>
              <w:rPr>
                <w:rFonts w:hint="eastAsia"/>
              </w:rPr>
            </w:pPr>
          </w:p>
        </w:tc>
        <w:tc>
          <w:tcPr>
            <w:tcW w:w="2175" w:type="dxa"/>
            <w:noWrap w:val="0"/>
            <w:vAlign w:val="top"/>
          </w:tcPr>
          <w:p>
            <w:pPr>
              <w:rPr>
                <w:rFonts w:hint="eastAsia"/>
              </w:rPr>
            </w:pPr>
            <w:r>
              <w:rPr>
                <w:rFonts w:hint="eastAsia"/>
              </w:rPr>
              <w:t>11.7×3.2×2.1M</w:t>
            </w:r>
          </w:p>
        </w:tc>
        <w:tc>
          <w:tcPr>
            <w:tcW w:w="1965" w:type="dxa"/>
            <w:noWrap w:val="0"/>
            <w:vAlign w:val="top"/>
          </w:tcPr>
          <w:p>
            <w:pPr>
              <w:rPr>
                <w:rFonts w:hint="eastAsia"/>
              </w:rPr>
            </w:pPr>
            <w:r>
              <w:rPr>
                <w:rFonts w:hint="eastAsia"/>
              </w:rPr>
              <w:t>不锈钢</w:t>
            </w:r>
          </w:p>
        </w:tc>
        <w:tc>
          <w:tcPr>
            <w:tcW w:w="570" w:type="dxa"/>
            <w:noWrap w:val="0"/>
            <w:vAlign w:val="top"/>
          </w:tcPr>
          <w:p>
            <w:pPr>
              <w:rPr>
                <w:rFonts w:hint="eastAsia"/>
              </w:rPr>
            </w:pPr>
            <w:r>
              <w:rPr>
                <w:rFonts w:hint="eastAsia"/>
              </w:rPr>
              <w:t>套</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rPr>
                <w:rFonts w:hint="eastAsia"/>
              </w:rPr>
            </w:pPr>
            <w:r>
              <w:rPr>
                <w:rFonts w:hint="eastAsia"/>
              </w:rPr>
              <w:t>紫外消毒系统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9</w:t>
            </w:r>
          </w:p>
        </w:tc>
        <w:tc>
          <w:tcPr>
            <w:tcW w:w="840" w:type="dxa"/>
            <w:noWrap w:val="0"/>
            <w:vAlign w:val="top"/>
          </w:tcPr>
          <w:p>
            <w:pPr>
              <w:rPr>
                <w:rFonts w:hint="eastAsia"/>
              </w:rPr>
            </w:pPr>
            <w:r>
              <w:rPr>
                <w:rFonts w:hint="eastAsia"/>
              </w:rPr>
              <w:t>紫外消毒设备</w:t>
            </w:r>
          </w:p>
        </w:tc>
        <w:tc>
          <w:tcPr>
            <w:tcW w:w="990" w:type="dxa"/>
            <w:noWrap w:val="0"/>
            <w:vAlign w:val="top"/>
          </w:tcPr>
          <w:p>
            <w:pPr>
              <w:rPr>
                <w:rFonts w:hint="eastAsia"/>
              </w:rPr>
            </w:pPr>
          </w:p>
        </w:tc>
        <w:tc>
          <w:tcPr>
            <w:tcW w:w="2175" w:type="dxa"/>
            <w:noWrap w:val="0"/>
            <w:vAlign w:val="top"/>
          </w:tcPr>
          <w:p>
            <w:pPr>
              <w:rPr>
                <w:rFonts w:hint="eastAsia"/>
              </w:rPr>
            </w:pPr>
            <w:r>
              <w:rPr>
                <w:rFonts w:hint="eastAsia"/>
              </w:rPr>
              <w:t xml:space="preserve">平均流量：30000 m3/d </w:t>
            </w:r>
          </w:p>
          <w:p>
            <w:pPr>
              <w:rPr>
                <w:rFonts w:hint="eastAsia"/>
              </w:rPr>
            </w:pPr>
            <w:r>
              <w:rPr>
                <w:rFonts w:hint="eastAsia"/>
              </w:rPr>
              <w:t xml:space="preserve">峰值系数：1.27 </w:t>
            </w:r>
          </w:p>
          <w:p>
            <w:pPr>
              <w:rPr>
                <w:rFonts w:hint="eastAsia"/>
              </w:rPr>
            </w:pPr>
            <w:r>
              <w:rPr>
                <w:rFonts w:hint="eastAsia"/>
              </w:rPr>
              <w:t xml:space="preserve">悬浮含量TSS：10 mg/L(最大值) </w:t>
            </w:r>
          </w:p>
          <w:p>
            <w:pPr>
              <w:rPr>
                <w:rFonts w:hint="eastAsia"/>
              </w:rPr>
            </w:pPr>
            <w:r>
              <w:rPr>
                <w:rFonts w:hint="eastAsia"/>
              </w:rPr>
              <w:t>紫外透光率：≥65 %</w:t>
            </w:r>
          </w:p>
          <w:p>
            <w:pPr>
              <w:rPr>
                <w:rFonts w:hint="eastAsia"/>
              </w:rPr>
            </w:pPr>
            <w:r>
              <w:rPr>
                <w:rFonts w:hint="eastAsia"/>
              </w:rPr>
              <w:t>工作方式：连续24 h</w:t>
            </w:r>
          </w:p>
          <w:p>
            <w:pPr>
              <w:rPr>
                <w:rFonts w:hint="eastAsia"/>
              </w:rPr>
            </w:pPr>
            <w:r>
              <w:rPr>
                <w:rFonts w:hint="eastAsia"/>
              </w:rPr>
              <w:t xml:space="preserve">杀菌指标：粪大肠 </w:t>
            </w:r>
          </w:p>
          <w:p>
            <w:pPr>
              <w:rPr>
                <w:rFonts w:hint="eastAsia"/>
              </w:rPr>
            </w:pPr>
            <w:r>
              <w:rPr>
                <w:rFonts w:hint="eastAsia"/>
              </w:rPr>
              <w:t>杆菌数≤1000个/L （30天几何平均值 ）</w:t>
            </w:r>
          </w:p>
        </w:tc>
        <w:tc>
          <w:tcPr>
            <w:tcW w:w="1965" w:type="dxa"/>
            <w:noWrap w:val="0"/>
            <w:vAlign w:val="top"/>
          </w:tcPr>
          <w:p>
            <w:pPr>
              <w:rPr>
                <w:rFonts w:hint="eastAsia"/>
              </w:rPr>
            </w:pPr>
            <w:r>
              <w:rPr>
                <w:rFonts w:hint="eastAsia"/>
              </w:rPr>
              <w:t>主要零部件：不 锈钢304 石英套管：石英</w:t>
            </w:r>
          </w:p>
        </w:tc>
        <w:tc>
          <w:tcPr>
            <w:tcW w:w="570" w:type="dxa"/>
            <w:noWrap w:val="0"/>
            <w:vAlign w:val="top"/>
          </w:tcPr>
          <w:p>
            <w:pPr>
              <w:rPr>
                <w:rFonts w:hint="eastAsia"/>
              </w:rPr>
            </w:pPr>
            <w:r>
              <w:rPr>
                <w:rFonts w:hint="eastAsia"/>
              </w:rPr>
              <w:t>套</w:t>
            </w:r>
          </w:p>
        </w:tc>
        <w:tc>
          <w:tcPr>
            <w:tcW w:w="540" w:type="dxa"/>
            <w:noWrap w:val="0"/>
            <w:vAlign w:val="top"/>
          </w:tcPr>
          <w:p>
            <w:pPr>
              <w:rPr>
                <w:rFonts w:hint="eastAsia"/>
              </w:rPr>
            </w:pPr>
            <w:r>
              <w:rPr>
                <w:rFonts w:hint="eastAsia"/>
              </w:rPr>
              <w:t>1</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rPr>
                <w:rFonts w:hint="eastAsia"/>
                <w:lang w:val="en-US"/>
              </w:rPr>
            </w:pPr>
            <w:r>
              <w:rPr>
                <w:rFonts w:hint="eastAsia"/>
                <w:lang w:val="en-US"/>
              </w:rPr>
              <w:t>CASS池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10</w:t>
            </w:r>
          </w:p>
        </w:tc>
        <w:tc>
          <w:tcPr>
            <w:tcW w:w="840" w:type="dxa"/>
            <w:noWrap w:val="0"/>
            <w:vAlign w:val="top"/>
          </w:tcPr>
          <w:p>
            <w:pPr>
              <w:rPr>
                <w:rFonts w:hint="eastAsia"/>
              </w:rPr>
            </w:pPr>
            <w:r>
              <w:rPr>
                <w:rFonts w:hint="eastAsia"/>
              </w:rPr>
              <w:t>滗水器改 造</w:t>
            </w:r>
          </w:p>
        </w:tc>
        <w:tc>
          <w:tcPr>
            <w:tcW w:w="990" w:type="dxa"/>
            <w:noWrap w:val="0"/>
            <w:vAlign w:val="top"/>
          </w:tcPr>
          <w:p>
            <w:pPr>
              <w:rPr>
                <w:rFonts w:hint="eastAsia"/>
              </w:rPr>
            </w:pPr>
          </w:p>
        </w:tc>
        <w:tc>
          <w:tcPr>
            <w:tcW w:w="2175" w:type="dxa"/>
            <w:noWrap w:val="0"/>
            <w:vAlign w:val="top"/>
          </w:tcPr>
          <w:p>
            <w:pPr>
              <w:rPr>
                <w:rFonts w:hint="eastAsia"/>
              </w:rPr>
            </w:pPr>
            <w:r>
              <w:rPr>
                <w:rFonts w:hint="eastAsia"/>
                <w:lang w:val="en-US"/>
              </w:rPr>
              <w:t>1、</w:t>
            </w:r>
            <w:r>
              <w:rPr>
                <w:rFonts w:hint="eastAsia"/>
              </w:rPr>
              <w:t xml:space="preserve">止水水位提高5 0mm </w:t>
            </w:r>
          </w:p>
          <w:p>
            <w:pPr>
              <w:rPr>
                <w:rFonts w:hint="eastAsia"/>
              </w:rPr>
            </w:pPr>
            <w:r>
              <w:rPr>
                <w:rFonts w:hint="eastAsia"/>
              </w:rPr>
              <w:t>2、实现滗水水位 均匀下降</w:t>
            </w:r>
          </w:p>
        </w:tc>
        <w:tc>
          <w:tcPr>
            <w:tcW w:w="1965" w:type="dxa"/>
            <w:noWrap w:val="0"/>
            <w:vAlign w:val="top"/>
          </w:tcPr>
          <w:p>
            <w:pPr>
              <w:rPr>
                <w:rFonts w:hint="eastAsia"/>
              </w:rPr>
            </w:pPr>
          </w:p>
        </w:tc>
        <w:tc>
          <w:tcPr>
            <w:tcW w:w="570" w:type="dxa"/>
            <w:noWrap w:val="0"/>
            <w:vAlign w:val="top"/>
          </w:tcPr>
          <w:p>
            <w:pPr>
              <w:rPr>
                <w:rFonts w:hint="eastAsia"/>
              </w:rPr>
            </w:pPr>
            <w:r>
              <w:rPr>
                <w:rFonts w:hint="eastAsia"/>
              </w:rPr>
              <w:t>项</w:t>
            </w:r>
          </w:p>
        </w:tc>
        <w:tc>
          <w:tcPr>
            <w:tcW w:w="540" w:type="dxa"/>
            <w:noWrap w:val="0"/>
            <w:vAlign w:val="top"/>
          </w:tcPr>
          <w:p>
            <w:pPr>
              <w:rPr>
                <w:rFonts w:hint="eastAsia"/>
              </w:rPr>
            </w:pPr>
            <w:r>
              <w:rPr>
                <w:rFonts w:hint="eastAsia"/>
              </w:rPr>
              <w:t>1</w:t>
            </w:r>
          </w:p>
        </w:tc>
        <w:tc>
          <w:tcPr>
            <w:tcW w:w="69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rPr>
                <w:rFonts w:hint="eastAsia"/>
              </w:rPr>
            </w:pPr>
            <w:r>
              <w:rPr>
                <w:rFonts w:hint="eastAsia"/>
              </w:rPr>
              <w:t>投药间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lang w:val="en-US"/>
              </w:rPr>
            </w:pPr>
            <w:r>
              <w:rPr>
                <w:rFonts w:hint="eastAsia"/>
                <w:lang w:val="en-US"/>
              </w:rPr>
              <w:t>11</w:t>
            </w:r>
          </w:p>
        </w:tc>
        <w:tc>
          <w:tcPr>
            <w:tcW w:w="840" w:type="dxa"/>
            <w:noWrap w:val="0"/>
            <w:vAlign w:val="top"/>
          </w:tcPr>
          <w:p>
            <w:pPr>
              <w:rPr>
                <w:rFonts w:hint="eastAsia"/>
              </w:rPr>
            </w:pPr>
            <w:r>
              <w:rPr>
                <w:rFonts w:hint="eastAsia"/>
              </w:rPr>
              <w:t>加药泵</w:t>
            </w:r>
          </w:p>
        </w:tc>
        <w:tc>
          <w:tcPr>
            <w:tcW w:w="990" w:type="dxa"/>
            <w:noWrap w:val="0"/>
            <w:vAlign w:val="top"/>
          </w:tcPr>
          <w:p>
            <w:pPr>
              <w:rPr>
                <w:rFonts w:hint="eastAsia"/>
              </w:rPr>
            </w:pPr>
          </w:p>
        </w:tc>
        <w:tc>
          <w:tcPr>
            <w:tcW w:w="2175" w:type="dxa"/>
            <w:noWrap w:val="0"/>
            <w:vAlign w:val="top"/>
          </w:tcPr>
          <w:p>
            <w:pPr>
              <w:rPr>
                <w:rFonts w:hint="eastAsia"/>
              </w:rPr>
            </w:pPr>
            <w:r>
              <w:rPr>
                <w:rFonts w:hint="eastAsia"/>
              </w:rPr>
              <w:t xml:space="preserve">流量：Q=500L/h </w:t>
            </w:r>
          </w:p>
          <w:p>
            <w:pPr>
              <w:rPr>
                <w:rFonts w:hint="eastAsia"/>
              </w:rPr>
            </w:pPr>
            <w:r>
              <w:rPr>
                <w:rFonts w:hint="eastAsia"/>
              </w:rPr>
              <w:t xml:space="preserve">压力：P=0.6MPa </w:t>
            </w:r>
          </w:p>
          <w:p>
            <w:pPr>
              <w:rPr>
                <w:rFonts w:hint="eastAsia"/>
              </w:rPr>
            </w:pPr>
            <w:r>
              <w:rPr>
                <w:rFonts w:hint="eastAsia"/>
              </w:rPr>
              <w:t xml:space="preserve">功率：0.75kW </w:t>
            </w:r>
          </w:p>
          <w:p>
            <w:pPr>
              <w:rPr>
                <w:rFonts w:hint="eastAsia"/>
              </w:rPr>
            </w:pPr>
            <w:r>
              <w:rPr>
                <w:rFonts w:hint="eastAsia"/>
              </w:rPr>
              <w:t>配套止回阀、安全 阀、背压阀、阻尼 器、Y型过滤器、 压力表等等</w:t>
            </w:r>
          </w:p>
        </w:tc>
        <w:tc>
          <w:tcPr>
            <w:tcW w:w="1965" w:type="dxa"/>
            <w:noWrap w:val="0"/>
            <w:vAlign w:val="top"/>
          </w:tcPr>
          <w:p>
            <w:pPr>
              <w:rPr>
                <w:rFonts w:hint="eastAsia"/>
              </w:rPr>
            </w:pPr>
            <w:r>
              <w:rPr>
                <w:rFonts w:hint="eastAsia"/>
              </w:rPr>
              <w:t>PVC泵头</w:t>
            </w:r>
          </w:p>
        </w:tc>
        <w:tc>
          <w:tcPr>
            <w:tcW w:w="570" w:type="dxa"/>
            <w:noWrap w:val="0"/>
            <w:vAlign w:val="top"/>
          </w:tcPr>
          <w:p>
            <w:pPr>
              <w:rPr>
                <w:rFonts w:hint="eastAsia"/>
              </w:rPr>
            </w:pPr>
            <w:r>
              <w:rPr>
                <w:rFonts w:hint="eastAsia"/>
              </w:rPr>
              <w:t>台</w:t>
            </w:r>
          </w:p>
        </w:tc>
        <w:tc>
          <w:tcPr>
            <w:tcW w:w="540" w:type="dxa"/>
            <w:noWrap w:val="0"/>
            <w:vAlign w:val="top"/>
          </w:tcPr>
          <w:p>
            <w:pPr>
              <w:rPr>
                <w:rFonts w:hint="eastAsia"/>
              </w:rPr>
            </w:pPr>
            <w:r>
              <w:rPr>
                <w:rFonts w:hint="eastAsia"/>
              </w:rPr>
              <w:t>2</w:t>
            </w:r>
          </w:p>
        </w:tc>
        <w:tc>
          <w:tcPr>
            <w:tcW w:w="698" w:type="dxa"/>
            <w:noWrap w:val="0"/>
            <w:vAlign w:val="top"/>
          </w:tcPr>
          <w:p>
            <w:pPr>
              <w:rPr>
                <w:rFonts w:hint="eastAsia"/>
              </w:rPr>
            </w:pPr>
          </w:p>
        </w:tc>
      </w:tr>
    </w:tbl>
    <w:p>
      <w:pPr>
        <w:autoSpaceDE/>
        <w:autoSpaceDN/>
        <w:spacing w:line="360" w:lineRule="auto"/>
        <w:rPr>
          <w:rFonts w:hint="eastAsia" w:ascii="宋体" w:hAnsi="宋体"/>
          <w:b/>
          <w:bCs/>
          <w:sz w:val="21"/>
          <w:szCs w:val="21"/>
          <w:lang w:val="en-US"/>
        </w:rPr>
      </w:pPr>
    </w:p>
    <w:p>
      <w:pPr>
        <w:autoSpaceDE/>
        <w:autoSpaceDN/>
        <w:spacing w:line="360" w:lineRule="auto"/>
        <w:rPr>
          <w:rFonts w:hint="eastAsia" w:ascii="宋体" w:hAnsi="宋体"/>
          <w:b/>
          <w:bCs/>
          <w:sz w:val="21"/>
          <w:szCs w:val="21"/>
          <w:lang w:val="en-US"/>
        </w:rPr>
      </w:pPr>
      <w:r>
        <w:rPr>
          <w:rFonts w:hint="eastAsia" w:ascii="宋体" w:hAnsi="宋体"/>
          <w:b/>
          <w:bCs/>
          <w:sz w:val="21"/>
          <w:szCs w:val="21"/>
          <w:lang w:val="en-US"/>
        </w:rPr>
        <w:t>附件2：考核细则</w:t>
      </w:r>
    </w:p>
    <w:p>
      <w:pPr>
        <w:autoSpaceDE/>
        <w:autoSpaceDN/>
        <w:spacing w:line="360" w:lineRule="auto"/>
        <w:jc w:val="center"/>
        <w:rPr>
          <w:rFonts w:hint="eastAsia" w:ascii="宋体" w:hAnsi="宋体"/>
          <w:b/>
          <w:bCs/>
          <w:sz w:val="21"/>
          <w:szCs w:val="21"/>
          <w:lang w:val="en-US"/>
        </w:rPr>
      </w:pPr>
      <w:r>
        <w:rPr>
          <w:rFonts w:hint="eastAsia" w:ascii="宋体" w:hAnsi="宋体"/>
          <w:b/>
          <w:bCs/>
          <w:sz w:val="21"/>
          <w:szCs w:val="21"/>
          <w:lang w:val="en-US"/>
        </w:rPr>
        <w:t>考核细则</w:t>
      </w:r>
    </w:p>
    <w:tbl>
      <w:tblPr>
        <w:tblStyle w:val="10"/>
        <w:tblpPr w:leftFromText="180" w:rightFromText="180" w:vertAnchor="text" w:horzAnchor="page" w:tblpX="1621"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930"/>
        <w:gridCol w:w="1095"/>
        <w:gridCol w:w="780"/>
        <w:gridCol w:w="1905"/>
        <w:gridCol w:w="237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09"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序号</w:t>
            </w:r>
          </w:p>
        </w:tc>
        <w:tc>
          <w:tcPr>
            <w:tcW w:w="93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项目</w:t>
            </w: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考核内容</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分值</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考核标准</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检查要求</w:t>
            </w:r>
          </w:p>
        </w:tc>
        <w:tc>
          <w:tcPr>
            <w:tcW w:w="833"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1</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人力资源与管理</w:t>
            </w:r>
          </w:p>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15分</w:t>
            </w: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组织架构</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根据污水处理工作合理制定组织架构 ，人员相对稳定</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1.组织架构不合理、不完 善的扣1分； 2.实际人员与组织架构不符的每少1人扣0.5分。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岗位职责与 考核</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建立健全各级管理制度和考核制度</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1.无管理制度和考核制度 的扣1分； 2.无考核记录的扣1分。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污水处理厂 项目负责人 、技术负责 人资格</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项目负责人需达到环保专业中级以上职称；每月到场次 数不少于2次，每月召开管理会议不少 于1次</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1.未达到招标文件要求的 资格扣1分； 2.每月未达到到场数的每少一次扣0.5分； 3.每月召开管理会议未达 到要求的扣0.5分。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安全员资格</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需配备持有有效安全职业资格证书的专职安全员</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1.未配备专职安全员的扣1 分；2.安全职业资格证书超出 有效期的扣1分。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特殊工程操 作人员资格</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电工、焊工、起重操作工等特殊工程操作人员需取得相 关特种作业证</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1.每缺一项特种作业证的 扣0.5分； 2.特种作业证超出有效期的扣0.5分。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关键岗位上 岗人员资格</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污水处理工、化验 员、在线数据维护员均应取得相关职业资格证书或培训合格证明</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1.每1人未持有职业资格证 或培训合格证明的扣0.5分 ；2.职业资格证或培训合格 证明超出有效期的扣0.5分 。</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劳动纪律</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各岗位人员应遵守相关劳动纪律</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发现违反劳动纪律的每人 每次扣0.5分。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教育与培训</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每季度开展不少于1 次的培训教育</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无开展培训教育的扣1分。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ascii="宋体" w:hAnsi="宋体"/>
                <w:b w:val="0"/>
                <w:bCs w:val="0"/>
                <w:sz w:val="21"/>
                <w:szCs w:val="21"/>
                <w:lang w:val="en-US"/>
              </w:rPr>
            </w:pPr>
            <w:r>
              <w:rPr>
                <w:rFonts w:hint="eastAsia" w:ascii="宋体" w:hAnsi="宋体"/>
                <w:b w:val="0"/>
                <w:bCs w:val="0"/>
                <w:sz w:val="21"/>
                <w:szCs w:val="21"/>
                <w:lang w:val="en-US"/>
              </w:rPr>
              <w:t>2</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工艺运行管理20分</w:t>
            </w: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运行管理制 度</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根据相关标准建立 健全污水处理厂运 行管理技术规程并 组织实施</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1.无制定工艺运行管理技 术规程的扣1分； 2.工艺运行管理技术规程 不完善的扣1分。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生产运行过程控制</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5</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污水处理设施运行率≥95%</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比要求的每少一个百分点 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污泥处理量与污水处理量应相匹配， 产泥系数应不低于0. 5tDS/万吨水。</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季度考核期内污泥处理量 未达到指标要求的扣3分。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应根据生产实际需要，配置如DO仪、 液位计、MLSS仪等过程监测仪表。</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每缺少一个过程监测仪表 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污泥管理</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污泥外运处置需实 行污泥转运联单制 度</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未实行污泥转运联单制度 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污泥应妥善处理处 置，不得出现泄露 、随处丢弃、私自 处理等情况</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发现不规范处理处置污泥 的每次扣2分。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运行记录与统计报表</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运行记录和统计报表应包括污水量、 污泥量、进出水水 质、药耗、电耗、 异常情况原因分析及处理情况等生产 记录，同时应有电子数据及纸质资料归档。</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1.运行记录和统计报表不 完整、不规范的每处扣0.5 分。2.无电子数据或纸质资料 归档的每项扣0.5分。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中控系统应有进出水量、进出水水质 、风量、电流、DO 、MLSS等重点数据报表及曲线记录</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每缺一项扣0.5分。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3</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水质检测与管理</w:t>
            </w:r>
          </w:p>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20分</w:t>
            </w: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出水标准</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10</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出水水质应达到《 城镇污水处理厂污 染物排放标准》（G B18918-2002）一 级A以及广东省地方 标准《水污染物排放限值》（DB44/2 6-2001）第二时段 一级标准中的较严 值。</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采购人安排第三方单位抽检或环保部门取样检测超标1次的扣10分。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自行监测</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按自行自行监测方 案中的检测项目及 检测周期开展监测 活动，并适时更新 自行监测方案。</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1.未按自行监测方案开展 监测活动的，每少一项扣1 分。2.未按要求更新自行监测 方案的扣2分。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检测周期应按要求 执行，检测分析报 表应完整、规范。</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1.检测周期未按要求执行 的扣2分； 2.数据报表记录不规范的 每项扣0.5分。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进出水在线监测仪 表应工作良好，数 据上传稳定，并按 要求定期进行比对 、较正。</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1.在线仪表故障每个扣1分 ；2.上传数据每缺失一个扣1 分；3.未按要求进行仪表比对 、较正的扣1分。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4</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设备设施管理20 分</w:t>
            </w:r>
          </w:p>
        </w:tc>
        <w:tc>
          <w:tcPr>
            <w:tcW w:w="109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设备管理制 度</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应制定完善的设备 管理制度</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设备管理制度不健全，职 责不明确的扣2分。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应合理配置设备管 理专业人员，主要 工艺设备维护应由 专人负责</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主要工艺设备维护记录不 完善的每处扣0.5分。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restart"/>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设备台帐</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按规定制定设备完 好率统计表和设备 清册（台帐）</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设备完好率统计表和设备 清册（台帐）不完善的每 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主要设备完好率应≥ 96%，过程仪表运 转率应≥90%，进 出水在线仪表运转率应达到100%。</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每低于要求一个百分点扣0 .5分。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设备状态</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6</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设备及其配套系统 运行状况良好，外 观整洁，无跑、冒 、滴、漏的情况</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设备运行状况较差的每个 设备扣1分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5</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安全管理12分</w:t>
            </w:r>
          </w:p>
        </w:tc>
        <w:tc>
          <w:tcPr>
            <w:tcW w:w="1095"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安全管理制度制度</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应建立健全的安全 管理制度</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无安全管理制度或不健全 的扣1分，安全管理制度未 上墙的扣1分。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应逐级签订安全生 产责任书，设置专 职安全员</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无逐级签订安全生产责任书，每缺少1人扣0.5分， 无设置专职安全员的扣1分 。</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制定并落实安全应 急预案</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无安全应急预案的扣2分； 未按安全应急预案要求进 行安全检查、安全会议、 安全演练的扣1分。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3</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应及时发现并排除 安全隐患</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每发现一处安全隐患的扣1 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应无发生安全事故</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发生一般安全事故或以上 安全事故的扣减当月运行 费用。</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应合理设置指示牌 、警示牌</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相关指示牌、警示牌未设 置到位的每处扣0.5分。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6</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文件、档案管理</w:t>
            </w:r>
          </w:p>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6分</w:t>
            </w:r>
          </w:p>
        </w:tc>
        <w:tc>
          <w:tcPr>
            <w:tcW w:w="1095"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档案管理制 度</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应设置档案室及专 （兼）职档案管理 人员</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未设置档案室和配备档案 管理人员的扣2分。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档案管理应规范、 工艺运行、设备管 理、安全生产等档 案应完整</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档案管理不规范或资料不 完整的每处扣0.5分。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按相关要求的文件 报送、资料填报、 数据汇总等应准确 、及时</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报送资料不及时的每次扣1 分；报送信息错误的每次 扣1分。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7</w:t>
            </w:r>
          </w:p>
        </w:tc>
        <w:tc>
          <w:tcPr>
            <w:tcW w:w="930"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厂容厂貌管理7分</w:t>
            </w:r>
          </w:p>
        </w:tc>
        <w:tc>
          <w:tcPr>
            <w:tcW w:w="1095" w:type="dxa"/>
            <w:vMerge w:val="restart"/>
            <w:noWrap w:val="0"/>
            <w:vAlign w:val="center"/>
          </w:tcPr>
          <w:p>
            <w:pPr>
              <w:pStyle w:val="5"/>
              <w:jc w:val="center"/>
              <w:rPr>
                <w:rFonts w:hint="eastAsia" w:ascii="宋体" w:hAnsi="宋体"/>
                <w:b w:val="0"/>
                <w:bCs w:val="0"/>
                <w:sz w:val="21"/>
                <w:szCs w:val="21"/>
                <w:lang w:val="en-US"/>
              </w:rPr>
            </w:pPr>
            <w:r>
              <w:rPr>
                <w:rFonts w:hint="eastAsia" w:ascii="宋体" w:hAnsi="宋体"/>
                <w:b w:val="0"/>
                <w:bCs w:val="0"/>
                <w:sz w:val="21"/>
                <w:szCs w:val="21"/>
                <w:lang w:val="en-US"/>
              </w:rPr>
              <w:t>环境卫生</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1.5</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厂内建（构）筑物 外观应整洁、无破 损</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建（构）筑物外观不整洁 、存在破损的每处扣1.5分 。</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道路整洁、绿化维 护到位</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道路卫生状况差，绿化面 积不足、花木植被残缺较 多的每处扣0.5分。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2</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生产区、办公区、 机房等应干净整洁 ，物品摆放整齐</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生产、办公区域卫生条件 差的每处扣0.5分。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noWrap w:val="0"/>
            <w:vAlign w:val="top"/>
          </w:tcPr>
          <w:p>
            <w:pPr>
              <w:pStyle w:val="5"/>
              <w:rPr>
                <w:rFonts w:hint="eastAsia" w:ascii="宋体" w:hAnsi="宋体"/>
                <w:b w:val="0"/>
                <w:bCs w:val="0"/>
                <w:sz w:val="21"/>
                <w:szCs w:val="21"/>
                <w:lang w:val="en-US"/>
              </w:rPr>
            </w:pPr>
          </w:p>
        </w:tc>
        <w:tc>
          <w:tcPr>
            <w:tcW w:w="930" w:type="dxa"/>
            <w:vMerge w:val="continue"/>
            <w:noWrap w:val="0"/>
            <w:vAlign w:val="top"/>
          </w:tcPr>
          <w:p>
            <w:pPr>
              <w:pStyle w:val="5"/>
              <w:rPr>
                <w:rFonts w:hint="eastAsia" w:ascii="宋体" w:hAnsi="宋体"/>
                <w:b w:val="0"/>
                <w:bCs w:val="0"/>
                <w:sz w:val="21"/>
                <w:szCs w:val="21"/>
                <w:lang w:val="en-US"/>
              </w:rPr>
            </w:pPr>
          </w:p>
        </w:tc>
        <w:tc>
          <w:tcPr>
            <w:tcW w:w="1095" w:type="dxa"/>
            <w:vMerge w:val="continue"/>
            <w:noWrap w:val="0"/>
            <w:vAlign w:val="top"/>
          </w:tcPr>
          <w:p>
            <w:pPr>
              <w:pStyle w:val="5"/>
              <w:rPr>
                <w:rFonts w:hint="eastAsia" w:ascii="宋体" w:hAnsi="宋体"/>
                <w:b w:val="0"/>
                <w:bCs w:val="0"/>
                <w:sz w:val="21"/>
                <w:szCs w:val="21"/>
                <w:lang w:val="en-US"/>
              </w:rPr>
            </w:pP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1.5</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阀门井、管道应完 好，元破损泄漏。 阀门井和计量井内 应无杂物、积泥和 积水。各排水、排 污井应通畅，无外 溢。</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各功能井、排水井、排污 井使用状态差的每处扣0.5 分。</w:t>
            </w:r>
          </w:p>
        </w:tc>
        <w:tc>
          <w:tcPr>
            <w:tcW w:w="833" w:type="dxa"/>
            <w:noWrap w:val="0"/>
            <w:vAlign w:val="top"/>
          </w:tcPr>
          <w:p>
            <w:pPr>
              <w:pStyle w:val="5"/>
              <w:rPr>
                <w:rFonts w:hint="eastAsia" w:ascii="宋体" w:hAnsi="宋体"/>
                <w:b w:val="0"/>
                <w:bCs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8</w:t>
            </w:r>
          </w:p>
        </w:tc>
        <w:tc>
          <w:tcPr>
            <w:tcW w:w="93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扣分项</w:t>
            </w:r>
          </w:p>
        </w:tc>
        <w:tc>
          <w:tcPr>
            <w:tcW w:w="109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安全事故</w:t>
            </w:r>
          </w:p>
        </w:tc>
        <w:tc>
          <w:tcPr>
            <w:tcW w:w="78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-40</w:t>
            </w:r>
          </w:p>
        </w:tc>
        <w:tc>
          <w:tcPr>
            <w:tcW w:w="1905"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应无发生安全事故</w:t>
            </w:r>
          </w:p>
        </w:tc>
        <w:tc>
          <w:tcPr>
            <w:tcW w:w="2370" w:type="dxa"/>
            <w:noWrap w:val="0"/>
            <w:vAlign w:val="top"/>
          </w:tcPr>
          <w:p>
            <w:pPr>
              <w:pStyle w:val="5"/>
              <w:rPr>
                <w:rFonts w:hint="eastAsia" w:ascii="宋体" w:hAnsi="宋体"/>
                <w:b w:val="0"/>
                <w:bCs w:val="0"/>
                <w:sz w:val="21"/>
                <w:szCs w:val="21"/>
                <w:lang w:val="en-US"/>
              </w:rPr>
            </w:pPr>
            <w:r>
              <w:rPr>
                <w:rFonts w:hint="eastAsia" w:ascii="宋体" w:hAnsi="宋体"/>
                <w:b w:val="0"/>
                <w:bCs w:val="0"/>
                <w:sz w:val="21"/>
                <w:szCs w:val="21"/>
                <w:lang w:val="en-US"/>
              </w:rPr>
              <w:t>发生一般安全事故或以上 安全事故的扣40分。</w:t>
            </w:r>
          </w:p>
        </w:tc>
        <w:tc>
          <w:tcPr>
            <w:tcW w:w="833" w:type="dxa"/>
            <w:noWrap w:val="0"/>
            <w:vAlign w:val="top"/>
          </w:tcPr>
          <w:p>
            <w:pPr>
              <w:pStyle w:val="5"/>
              <w:rPr>
                <w:rFonts w:hint="eastAsia" w:ascii="宋体" w:hAnsi="宋体"/>
                <w:b w:val="0"/>
                <w:bCs w:val="0"/>
                <w:sz w:val="21"/>
                <w:szCs w:val="21"/>
                <w:lang w:val="en-US"/>
              </w:rPr>
            </w:pPr>
          </w:p>
        </w:tc>
      </w:tr>
    </w:tbl>
    <w:p>
      <w:pPr>
        <w:pStyle w:val="5"/>
        <w:ind w:left="0" w:leftChars="0" w:firstLine="0" w:firstLineChars="0"/>
        <w:rPr>
          <w:rFonts w:hint="eastAsia" w:ascii="宋体" w:hAnsi="宋体"/>
          <w:b w:val="0"/>
          <w:bCs w:val="0"/>
          <w:sz w:val="21"/>
          <w:szCs w:val="21"/>
          <w:lang w:val="en-US"/>
        </w:rPr>
      </w:pPr>
    </w:p>
    <w:p>
      <w:pPr>
        <w:pStyle w:val="5"/>
        <w:rPr>
          <w:rFonts w:hint="eastAsia" w:ascii="宋体" w:hAnsi="宋体"/>
          <w:b w:val="0"/>
          <w:bCs w:val="0"/>
          <w:sz w:val="21"/>
          <w:szCs w:val="21"/>
          <w:lang w:val="en-US"/>
        </w:rPr>
      </w:pPr>
      <w:r>
        <w:rPr>
          <w:rFonts w:hint="eastAsia" w:ascii="宋体" w:hAnsi="宋体"/>
          <w:b w:val="0"/>
          <w:bCs w:val="0"/>
          <w:sz w:val="21"/>
          <w:szCs w:val="21"/>
          <w:lang w:val="en-US"/>
        </w:rPr>
        <w:t>注：折算百分制得分=（日常抽检得分×10%）+（季度考核得分×90%）+扣分项得分。</w:t>
      </w:r>
    </w:p>
    <w:p>
      <w:pPr>
        <w:autoSpaceDE/>
        <w:autoSpaceDN/>
        <w:spacing w:line="360" w:lineRule="auto"/>
        <w:rPr>
          <w:rFonts w:hint="eastAsia" w:ascii="宋体" w:hAnsi="宋体"/>
          <w:b/>
          <w:bCs/>
          <w:sz w:val="21"/>
          <w:szCs w:val="21"/>
          <w:lang w:val="en-US"/>
        </w:rPr>
      </w:pPr>
    </w:p>
    <w:p>
      <w:pPr>
        <w:autoSpaceDE/>
        <w:autoSpaceDN/>
        <w:spacing w:line="360" w:lineRule="auto"/>
        <w:rPr>
          <w:rFonts w:hint="eastAsia" w:ascii="宋体" w:hAnsi="宋体"/>
          <w:b/>
          <w:bCs/>
          <w:sz w:val="21"/>
          <w:szCs w:val="21"/>
          <w:lang w:val="en-US"/>
        </w:rPr>
      </w:pPr>
      <w:r>
        <w:rPr>
          <w:rFonts w:hint="eastAsia" w:ascii="宋体" w:hAnsi="宋体"/>
          <w:b/>
          <w:bCs/>
          <w:sz w:val="21"/>
          <w:szCs w:val="21"/>
          <w:lang w:val="en-US"/>
        </w:rPr>
        <w:t>设备改造部分</w:t>
      </w:r>
    </w:p>
    <w:p>
      <w:pPr>
        <w:autoSpaceDE/>
        <w:autoSpaceDN/>
        <w:spacing w:line="360" w:lineRule="auto"/>
        <w:rPr>
          <w:rFonts w:hint="eastAsia"/>
          <w:lang w:val="en-US"/>
        </w:rPr>
      </w:pPr>
      <w:r>
        <w:rPr>
          <w:rFonts w:hint="eastAsia"/>
          <w:lang w:val="en-US"/>
        </w:rPr>
        <w:t>一、项目概况</w:t>
      </w:r>
    </w:p>
    <w:p>
      <w:pPr>
        <w:autoSpaceDE/>
        <w:autoSpaceDN/>
        <w:spacing w:line="360" w:lineRule="auto"/>
        <w:ind w:firstLine="420" w:firstLineChars="200"/>
        <w:rPr>
          <w:rFonts w:hint="eastAsia"/>
          <w:lang w:val="en-US"/>
        </w:rPr>
      </w:pPr>
      <w:r>
        <w:rPr>
          <w:rFonts w:hint="eastAsia"/>
          <w:lang w:val="en-US"/>
        </w:rPr>
        <w:t>大涌污水处理厂主要设备老化严重，经常出现故障情况，污水处理能力受限，急需加快推进设备更新改造，预计投入约1800万元。</w:t>
      </w:r>
    </w:p>
    <w:p>
      <w:pPr>
        <w:autoSpaceDE/>
        <w:autoSpaceDN/>
        <w:spacing w:line="360" w:lineRule="auto"/>
        <w:rPr>
          <w:rFonts w:hint="eastAsia"/>
          <w:lang w:val="en-US"/>
        </w:rPr>
      </w:pPr>
      <w:r>
        <w:rPr>
          <w:rFonts w:hint="eastAsia"/>
          <w:lang w:val="en-US"/>
        </w:rPr>
        <w:t>二、项目内容</w:t>
      </w:r>
    </w:p>
    <w:p>
      <w:pPr>
        <w:autoSpaceDE/>
        <w:autoSpaceDN/>
        <w:spacing w:line="360" w:lineRule="auto"/>
        <w:ind w:firstLine="420" w:firstLineChars="200"/>
        <w:rPr>
          <w:rFonts w:hint="eastAsia"/>
          <w:lang w:val="en-US"/>
        </w:rPr>
      </w:pPr>
      <w:r>
        <w:rPr>
          <w:rFonts w:hint="eastAsia"/>
          <w:lang w:val="en-US"/>
        </w:rPr>
        <w:t>详见中介预算</w:t>
      </w:r>
    </w:p>
    <w:p>
      <w:pPr>
        <w:autoSpaceDE/>
        <w:autoSpaceDN/>
        <w:spacing w:line="360" w:lineRule="auto"/>
        <w:rPr>
          <w:rFonts w:hint="eastAsia" w:ascii="Calibri" w:hAnsi="Calibri" w:cs="黑体"/>
          <w:kern w:val="2"/>
          <w:sz w:val="21"/>
          <w:highlight w:val="none"/>
          <w:lang w:val="en-US" w:bidi="ar-SA"/>
        </w:rPr>
      </w:pPr>
      <w:r>
        <w:rPr>
          <w:rFonts w:hint="eastAsia" w:cs="黑体"/>
          <w:kern w:val="2"/>
          <w:sz w:val="21"/>
          <w:lang w:val="en-US" w:bidi="ar-SA"/>
        </w:rPr>
        <w:t>三</w:t>
      </w:r>
      <w:r>
        <w:rPr>
          <w:rFonts w:hint="eastAsia" w:ascii="Calibri" w:hAnsi="Calibri" w:cs="黑体"/>
          <w:kern w:val="2"/>
          <w:sz w:val="21"/>
          <w:lang w:val="en-US" w:bidi="ar-SA"/>
        </w:rPr>
        <w:t>、总体</w:t>
      </w:r>
      <w:r>
        <w:rPr>
          <w:rFonts w:hint="eastAsia" w:ascii="Calibri" w:hAnsi="Calibri" w:cs="黑体"/>
          <w:kern w:val="2"/>
          <w:sz w:val="21"/>
          <w:highlight w:val="none"/>
          <w:lang w:val="en-US" w:bidi="ar-SA"/>
        </w:rPr>
        <w:t>要求:</w:t>
      </w:r>
    </w:p>
    <w:p>
      <w:pPr>
        <w:autoSpaceDE/>
        <w:autoSpaceDN/>
        <w:spacing w:line="360" w:lineRule="auto"/>
        <w:rPr>
          <w:rFonts w:ascii="Calibri" w:hAnsi="Calibri" w:cs="黑体"/>
          <w:kern w:val="2"/>
          <w:sz w:val="21"/>
          <w:highlight w:val="none"/>
          <w:lang w:val="en-US" w:bidi="ar-SA"/>
        </w:rPr>
      </w:pPr>
      <w:r>
        <w:rPr>
          <w:rFonts w:hint="eastAsia" w:ascii="Calibri" w:hAnsi="Calibri" w:cs="黑体"/>
          <w:kern w:val="2"/>
          <w:sz w:val="21"/>
          <w:highlight w:val="none"/>
          <w:lang w:val="en-US" w:bidi="ar-SA"/>
        </w:rPr>
        <w:t>1、总则</w:t>
      </w:r>
    </w:p>
    <w:p>
      <w:pPr>
        <w:autoSpaceDE/>
        <w:autoSpaceDN/>
        <w:spacing w:line="360" w:lineRule="auto"/>
        <w:rPr>
          <w:b/>
          <w:bCs/>
          <w:color w:val="auto"/>
          <w:highlight w:val="none"/>
          <w:lang w:val="en-US"/>
        </w:rPr>
      </w:pPr>
      <w:r>
        <w:rPr>
          <w:rFonts w:hint="eastAsia" w:ascii="宋体" w:hAnsi="宋体"/>
          <w:b/>
          <w:bCs/>
          <w:color w:val="auto"/>
          <w:sz w:val="21"/>
          <w:szCs w:val="21"/>
          <w:highlight w:val="none"/>
        </w:rPr>
        <w:t>★</w:t>
      </w:r>
      <w:r>
        <w:rPr>
          <w:rFonts w:hint="eastAsia" w:ascii="Calibri" w:hAnsi="Calibri" w:cs="黑体"/>
          <w:b/>
          <w:bCs/>
          <w:color w:val="auto"/>
          <w:kern w:val="2"/>
          <w:sz w:val="21"/>
          <w:highlight w:val="none"/>
          <w:lang w:val="en-US" w:bidi="ar-SA"/>
        </w:rPr>
        <w:t>（1）投标人须对设备改造部分工程预算清单作出响应承诺</w:t>
      </w:r>
      <w:r>
        <w:rPr>
          <w:rFonts w:hint="eastAsia"/>
          <w:b/>
          <w:bCs/>
          <w:color w:val="auto"/>
          <w:highlight w:val="none"/>
          <w:lang w:val="en-US"/>
        </w:rPr>
        <w:t>。（提供承诺函，格式自拟）</w:t>
      </w:r>
    </w:p>
    <w:p>
      <w:pPr>
        <w:autoSpaceDE/>
        <w:autoSpaceDN/>
        <w:spacing w:line="360" w:lineRule="auto"/>
        <w:rPr>
          <w:rFonts w:ascii="Calibri" w:hAnsi="Calibri" w:cs="黑体"/>
          <w:b/>
          <w:bCs/>
          <w:color w:val="auto"/>
          <w:kern w:val="2"/>
          <w:sz w:val="21"/>
          <w:highlight w:val="none"/>
          <w:lang w:val="en-US" w:bidi="ar-SA"/>
        </w:rPr>
      </w:pPr>
      <w:r>
        <w:rPr>
          <w:rFonts w:hint="eastAsia" w:ascii="Calibri" w:hAnsi="Calibri" w:cs="黑体"/>
          <w:b/>
          <w:bCs/>
          <w:color w:val="auto"/>
          <w:kern w:val="2"/>
          <w:sz w:val="21"/>
          <w:highlight w:val="none"/>
          <w:lang w:val="en-US" w:bidi="ar-SA"/>
        </w:rPr>
        <w:t>★（2）因现时运营需要，采购人已委托第三方对设备改造部分工程预算清单内的8台在线仪表设备进行改造，投标人须承诺中标后，在完成更换的仪器设备正常移交手续之日起10日内支付该笔设备改造费用，实际支付金额以</w:t>
      </w:r>
      <w:r>
        <w:rPr>
          <w:rFonts w:hint="eastAsia" w:ascii="Calibri" w:hAnsi="Calibri" w:cs="黑体"/>
          <w:b/>
          <w:bCs/>
          <w:color w:val="auto"/>
          <w:kern w:val="2"/>
          <w:sz w:val="21"/>
          <w:highlight w:val="none"/>
          <w:lang w:val="en-US" w:eastAsia="zh-CN" w:bidi="ar-SA"/>
        </w:rPr>
        <w:t>第三方采购资料和发票金额</w:t>
      </w:r>
      <w:r>
        <w:rPr>
          <w:rFonts w:hint="eastAsia" w:ascii="Calibri" w:hAnsi="Calibri" w:cs="黑体"/>
          <w:b/>
          <w:bCs/>
          <w:color w:val="auto"/>
          <w:kern w:val="2"/>
          <w:sz w:val="21"/>
          <w:highlight w:val="none"/>
          <w:lang w:val="en-US" w:bidi="ar-SA"/>
        </w:rPr>
        <w:t>为准。</w:t>
      </w:r>
      <w:r>
        <w:rPr>
          <w:rFonts w:hint="eastAsia"/>
          <w:b/>
          <w:bCs/>
          <w:color w:val="auto"/>
          <w:highlight w:val="none"/>
          <w:lang w:val="en-US"/>
        </w:rPr>
        <w:t>（提供承诺函，格式自拟）</w:t>
      </w:r>
    </w:p>
    <w:p>
      <w:pPr>
        <w:autoSpaceDE/>
        <w:autoSpaceDN/>
        <w:spacing w:line="360" w:lineRule="auto"/>
        <w:rPr>
          <w:rFonts w:hint="eastAsia" w:ascii="Calibri" w:hAnsi="Calibri" w:cs="黑体"/>
          <w:color w:val="auto"/>
          <w:kern w:val="2"/>
          <w:sz w:val="21"/>
          <w:highlight w:val="none"/>
          <w:lang w:val="en-US" w:bidi="ar-SA"/>
        </w:rPr>
      </w:pPr>
      <w:r>
        <w:rPr>
          <w:rFonts w:hint="eastAsia" w:ascii="Calibri" w:hAnsi="Calibri" w:cs="黑体"/>
          <w:color w:val="auto"/>
          <w:kern w:val="2"/>
          <w:sz w:val="21"/>
          <w:highlight w:val="none"/>
          <w:lang w:val="en-US" w:bidi="ar-SA"/>
        </w:rPr>
        <w:t>（2）</w:t>
      </w:r>
      <w:r>
        <w:rPr>
          <w:rFonts w:hint="eastAsia" w:cs="黑体"/>
          <w:color w:val="auto"/>
          <w:kern w:val="2"/>
          <w:sz w:val="21"/>
          <w:highlight w:val="none"/>
          <w:lang w:val="en-US" w:bidi="ar-SA"/>
        </w:rPr>
        <w:t>投标人投标</w:t>
      </w:r>
      <w:r>
        <w:rPr>
          <w:rFonts w:hint="eastAsia" w:ascii="Calibri" w:hAnsi="Calibri" w:cs="黑体"/>
          <w:color w:val="auto"/>
          <w:kern w:val="2"/>
          <w:sz w:val="21"/>
          <w:highlight w:val="none"/>
          <w:lang w:val="en-US" w:bidi="ar-SA"/>
        </w:rPr>
        <w:t xml:space="preserve">文件的项目负责人、技术负责人应与现场负责施工的项目负责人、技术负责人一致。 </w:t>
      </w:r>
    </w:p>
    <w:p>
      <w:pPr>
        <w:autoSpaceDE/>
        <w:autoSpaceDN/>
        <w:spacing w:line="360" w:lineRule="auto"/>
        <w:rPr>
          <w:rFonts w:hint="eastAsia" w:ascii="Calibri" w:hAnsi="Calibri" w:cs="黑体"/>
          <w:kern w:val="2"/>
          <w:sz w:val="21"/>
          <w:lang w:val="en-US" w:bidi="ar-SA"/>
        </w:rPr>
      </w:pPr>
      <w:r>
        <w:rPr>
          <w:rFonts w:hint="eastAsia" w:ascii="Calibri" w:hAnsi="Calibri" w:cs="黑体"/>
          <w:color w:val="auto"/>
          <w:kern w:val="2"/>
          <w:sz w:val="21"/>
          <w:lang w:val="en-US" w:bidi="ar-SA"/>
        </w:rPr>
        <w:t>（3）</w:t>
      </w:r>
      <w:r>
        <w:rPr>
          <w:rFonts w:hint="eastAsia" w:cs="黑体"/>
          <w:color w:val="auto"/>
          <w:kern w:val="2"/>
          <w:sz w:val="21"/>
          <w:lang w:val="en-US" w:bidi="ar-SA"/>
        </w:rPr>
        <w:t>投标人</w:t>
      </w:r>
      <w:r>
        <w:rPr>
          <w:rFonts w:hint="eastAsia" w:ascii="Calibri" w:hAnsi="Calibri" w:cs="黑体"/>
          <w:color w:val="auto"/>
          <w:kern w:val="2"/>
          <w:sz w:val="21"/>
          <w:lang w:val="en-US" w:bidi="ar-SA"/>
        </w:rPr>
        <w:t>要提交进场施工人员名单及身份证复印件给采购人备案， 且在采购人所属</w:t>
      </w:r>
      <w:r>
        <w:rPr>
          <w:rFonts w:hint="eastAsia" w:ascii="Calibri" w:hAnsi="Calibri" w:cs="黑体"/>
          <w:kern w:val="2"/>
          <w:sz w:val="21"/>
          <w:lang w:val="en-US" w:bidi="ar-SA"/>
        </w:rPr>
        <w:t>有关部门办理出入证。</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（4）施工人员要严格遵守采购人一切规章制度，自觉接受检查，无证人员一律不得进入施工现场，施工人员不得在施工现场留宿。施工人员未经批准不得进入其他区域。</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（5）</w:t>
      </w:r>
      <w:r>
        <w:rPr>
          <w:rFonts w:hint="eastAsia" w:cs="黑体"/>
          <w:kern w:val="2"/>
          <w:sz w:val="21"/>
          <w:lang w:val="en-US" w:bidi="ar-SA"/>
        </w:rPr>
        <w:t>投标人</w:t>
      </w:r>
      <w:r>
        <w:rPr>
          <w:rFonts w:hint="eastAsia" w:ascii="Calibri" w:hAnsi="Calibri" w:cs="黑体"/>
          <w:kern w:val="2"/>
          <w:sz w:val="21"/>
          <w:lang w:val="en-US" w:bidi="ar-SA"/>
        </w:rPr>
        <w:t>应遵守</w:t>
      </w:r>
      <w:r>
        <w:rPr>
          <w:rFonts w:hint="eastAsia" w:ascii="宋体" w:hAnsi="宋体"/>
          <w:sz w:val="21"/>
          <w:szCs w:val="21"/>
        </w:rPr>
        <w:t>采购人</w:t>
      </w:r>
      <w:r>
        <w:rPr>
          <w:rFonts w:hint="eastAsia" w:ascii="Calibri" w:hAnsi="Calibri" w:cs="黑体"/>
          <w:kern w:val="2"/>
          <w:sz w:val="21"/>
          <w:lang w:val="en-US" w:bidi="ar-SA"/>
        </w:rPr>
        <w:t xml:space="preserve">、总承包施工现场和人员管理规定，安全生产文明施工。 </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（6）</w:t>
      </w:r>
      <w:r>
        <w:rPr>
          <w:rFonts w:hint="eastAsia" w:cs="黑体"/>
          <w:kern w:val="2"/>
          <w:sz w:val="21"/>
          <w:lang w:val="en-US" w:bidi="ar-SA"/>
        </w:rPr>
        <w:t>投标人</w:t>
      </w:r>
      <w:r>
        <w:rPr>
          <w:rFonts w:hint="eastAsia" w:ascii="Calibri" w:hAnsi="Calibri" w:cs="黑体"/>
          <w:kern w:val="2"/>
          <w:sz w:val="21"/>
          <w:lang w:val="en-US" w:bidi="ar-SA"/>
        </w:rPr>
        <w:t>在施工过程中，如遇到需与外部相关的单位协调的问题时，应自行解决 ，采购人只负责协助。</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（7）</w:t>
      </w:r>
      <w:r>
        <w:rPr>
          <w:rFonts w:hint="eastAsia" w:cs="黑体"/>
          <w:kern w:val="2"/>
          <w:sz w:val="21"/>
          <w:lang w:val="en-US" w:bidi="ar-SA"/>
        </w:rPr>
        <w:t>投标人</w:t>
      </w:r>
      <w:r>
        <w:rPr>
          <w:rFonts w:hint="eastAsia" w:ascii="Calibri" w:hAnsi="Calibri" w:cs="黑体"/>
          <w:kern w:val="2"/>
          <w:sz w:val="21"/>
          <w:lang w:val="en-US" w:bidi="ar-SA"/>
        </w:rPr>
        <w:t>承诺须注意施工安全，做好安全文明施工工作，如因措施不当造成人身安全或工伤死亡事故，一切责任由</w:t>
      </w:r>
      <w:r>
        <w:rPr>
          <w:rFonts w:hint="eastAsia" w:cs="黑体"/>
          <w:kern w:val="2"/>
          <w:sz w:val="21"/>
          <w:lang w:val="en-US" w:bidi="ar-SA"/>
        </w:rPr>
        <w:t>投标人</w:t>
      </w:r>
      <w:r>
        <w:rPr>
          <w:rFonts w:hint="eastAsia" w:ascii="Calibri" w:hAnsi="Calibri" w:cs="黑体"/>
          <w:kern w:val="2"/>
          <w:sz w:val="21"/>
          <w:lang w:val="en-US" w:bidi="ar-SA"/>
        </w:rPr>
        <w:t>负责。</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2、质量和安全文明施工标准:</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（1）工程质量标准：合格。施工期间若工程质量不合格，</w:t>
      </w:r>
      <w:r>
        <w:rPr>
          <w:rFonts w:hint="eastAsia" w:cs="黑体"/>
          <w:kern w:val="2"/>
          <w:sz w:val="21"/>
          <w:lang w:val="en-US" w:bidi="ar-SA"/>
        </w:rPr>
        <w:t>中标人</w:t>
      </w:r>
      <w:r>
        <w:rPr>
          <w:rFonts w:hint="eastAsia" w:ascii="Calibri" w:hAnsi="Calibri" w:cs="黑体"/>
          <w:kern w:val="2"/>
          <w:sz w:val="21"/>
          <w:lang w:val="en-US" w:bidi="ar-SA"/>
        </w:rPr>
        <w:t>须按</w:t>
      </w:r>
      <w:r>
        <w:rPr>
          <w:rFonts w:hint="eastAsia" w:ascii="宋体" w:hAnsi="宋体"/>
          <w:sz w:val="21"/>
          <w:szCs w:val="21"/>
        </w:rPr>
        <w:t>采购人</w:t>
      </w:r>
      <w:r>
        <w:rPr>
          <w:rFonts w:hint="eastAsia" w:ascii="Calibri" w:hAnsi="Calibri" w:cs="黑体"/>
          <w:kern w:val="2"/>
          <w:sz w:val="21"/>
          <w:lang w:val="en-US" w:bidi="ar-SA"/>
        </w:rPr>
        <w:t>要求停工和返工，返工费用由</w:t>
      </w:r>
      <w:r>
        <w:rPr>
          <w:rFonts w:hint="eastAsia" w:cs="黑体"/>
          <w:kern w:val="2"/>
          <w:sz w:val="21"/>
          <w:lang w:val="en-US" w:bidi="ar-SA"/>
        </w:rPr>
        <w:t>中标人</w:t>
      </w:r>
      <w:r>
        <w:rPr>
          <w:rFonts w:hint="eastAsia" w:ascii="Calibri" w:hAnsi="Calibri" w:cs="黑体"/>
          <w:kern w:val="2"/>
          <w:sz w:val="21"/>
          <w:lang w:val="en-US" w:bidi="ar-SA"/>
        </w:rPr>
        <w:t>负责，工期不予顺延。</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w:t>
      </w:r>
      <w:r>
        <w:rPr>
          <w:rFonts w:hint="eastAsia" w:cs="黑体"/>
          <w:kern w:val="2"/>
          <w:sz w:val="21"/>
          <w:lang w:val="en-US" w:bidi="ar-SA"/>
        </w:rPr>
        <w:t>2</w:t>
      </w:r>
      <w:r>
        <w:rPr>
          <w:rFonts w:hint="eastAsia" w:ascii="Calibri" w:hAnsi="Calibri" w:cs="黑体"/>
          <w:kern w:val="2"/>
          <w:sz w:val="21"/>
          <w:lang w:val="en-US" w:bidi="ar-SA"/>
        </w:rPr>
        <w:t xml:space="preserve">）安全文明施工标准：杜绝一般事故等级及以上的伤亡事故且工伤责任事故死亡人数为零。 </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3、资料收集与归档:</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（1）本项目竣工验收后15天内提供工程结算书及相关资料统一送采购人审核 ，确认后办理结算手续。</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（2）</w:t>
      </w:r>
      <w:r>
        <w:rPr>
          <w:rFonts w:hint="eastAsia" w:cs="黑体"/>
          <w:kern w:val="2"/>
          <w:sz w:val="21"/>
          <w:lang w:val="en-US" w:bidi="ar-SA"/>
        </w:rPr>
        <w:t>中标人</w:t>
      </w:r>
      <w:r>
        <w:rPr>
          <w:rFonts w:hint="eastAsia" w:ascii="Calibri" w:hAnsi="Calibri" w:cs="黑体"/>
          <w:kern w:val="2"/>
          <w:sz w:val="21"/>
          <w:lang w:val="en-US" w:bidi="ar-SA"/>
        </w:rPr>
        <w:t>向采购人提交竣工验收报告时，应当向采购人出具质量保修书；质量保修书应明确采购人工程的保修范围、保修期限和保修责任等。</w:t>
      </w:r>
    </w:p>
    <w:p>
      <w:pPr>
        <w:autoSpaceDE/>
        <w:autoSpaceDN/>
        <w:spacing w:line="360" w:lineRule="auto"/>
        <w:rPr>
          <w:rFonts w:hint="eastAsia" w:ascii="Calibri" w:hAnsi="Calibri" w:cs="黑体"/>
          <w:color w:val="auto"/>
          <w:kern w:val="2"/>
          <w:sz w:val="21"/>
          <w:lang w:val="en-US" w:bidi="ar-SA"/>
        </w:rPr>
      </w:pPr>
      <w:r>
        <w:rPr>
          <w:rFonts w:hint="eastAsia" w:ascii="Calibri" w:hAnsi="Calibri" w:cs="黑体"/>
          <w:color w:val="auto"/>
          <w:kern w:val="2"/>
          <w:sz w:val="21"/>
          <w:lang w:val="en-US" w:bidi="ar-SA"/>
        </w:rPr>
        <w:t>4、施工要求与施工管理:</w:t>
      </w:r>
    </w:p>
    <w:p>
      <w:pPr>
        <w:autoSpaceDE/>
        <w:autoSpaceDN/>
        <w:spacing w:line="360" w:lineRule="auto"/>
        <w:rPr>
          <w:rFonts w:hint="eastAsia" w:ascii="Calibri" w:hAnsi="Calibri" w:eastAsia="宋体" w:cs="黑体"/>
          <w:color w:val="auto"/>
          <w:kern w:val="2"/>
          <w:sz w:val="21"/>
          <w:lang w:val="en-US" w:eastAsia="zh-CN" w:bidi="ar-SA"/>
        </w:rPr>
      </w:pPr>
      <w:r>
        <w:rPr>
          <w:rFonts w:hint="eastAsia" w:ascii="Calibri" w:hAnsi="Calibri" w:cs="黑体"/>
          <w:color w:val="auto"/>
          <w:kern w:val="2"/>
          <w:sz w:val="21"/>
          <w:lang w:val="en-US" w:bidi="ar-SA"/>
        </w:rPr>
        <w:t xml:space="preserve">（1）中标人在确保大涌污水处理厂正常运作的情况下，按轻重缓急分阶段对大涌生活污水处理厂进行设备改造。由中标人制定分阶段改造计划，并报采购人审批后实施，并分阶段验收。 </w:t>
      </w:r>
    </w:p>
    <w:p>
      <w:pPr>
        <w:autoSpaceDE/>
        <w:autoSpaceDN/>
        <w:spacing w:line="360" w:lineRule="auto"/>
        <w:rPr>
          <w:rFonts w:hint="eastAsia" w:ascii="Calibri" w:hAnsi="Calibri" w:cs="黑体"/>
          <w:color w:val="auto"/>
          <w:kern w:val="2"/>
          <w:sz w:val="21"/>
          <w:lang w:val="en-US" w:bidi="ar-SA"/>
        </w:rPr>
      </w:pPr>
      <w:r>
        <w:rPr>
          <w:rFonts w:hint="eastAsia" w:ascii="Calibri" w:hAnsi="Calibri" w:cs="黑体"/>
          <w:color w:val="auto"/>
          <w:kern w:val="2"/>
          <w:sz w:val="21"/>
          <w:lang w:val="en-US" w:bidi="ar-SA"/>
        </w:rPr>
        <w:t>（2）</w:t>
      </w:r>
      <w:r>
        <w:rPr>
          <w:rFonts w:hint="eastAsia" w:cs="黑体"/>
          <w:color w:val="auto"/>
          <w:kern w:val="2"/>
          <w:sz w:val="21"/>
          <w:lang w:val="en-US" w:bidi="ar-SA"/>
        </w:rPr>
        <w:t>投标人</w:t>
      </w:r>
      <w:r>
        <w:rPr>
          <w:rFonts w:hint="eastAsia" w:ascii="Calibri" w:hAnsi="Calibri" w:cs="黑体"/>
          <w:color w:val="auto"/>
          <w:kern w:val="2"/>
          <w:sz w:val="21"/>
          <w:lang w:val="en-US" w:bidi="ar-SA"/>
        </w:rPr>
        <w:t>须严格按照已经确认的施工方案组织施工，并接受采购人或其委托的监理单位对工程质量、工期、安全、文明施工、 环保及工地纪律的监督和管理。</w:t>
      </w:r>
    </w:p>
    <w:p>
      <w:pPr>
        <w:autoSpaceDE/>
        <w:autoSpaceDN/>
        <w:spacing w:line="360" w:lineRule="auto"/>
        <w:rPr>
          <w:rFonts w:hint="eastAsia" w:ascii="Calibri" w:hAnsi="Calibri" w:cs="黑体"/>
          <w:kern w:val="2"/>
          <w:sz w:val="21"/>
          <w:lang w:val="en-US" w:bidi="ar-SA"/>
        </w:rPr>
      </w:pPr>
      <w:r>
        <w:rPr>
          <w:rFonts w:hint="eastAsia" w:ascii="Calibri" w:hAnsi="Calibri" w:cs="黑体"/>
          <w:color w:val="auto"/>
          <w:kern w:val="2"/>
          <w:sz w:val="21"/>
          <w:lang w:val="en-US" w:bidi="ar-SA"/>
        </w:rPr>
        <w:t>（3）</w:t>
      </w:r>
      <w:r>
        <w:rPr>
          <w:rFonts w:hint="eastAsia" w:cs="黑体"/>
          <w:color w:val="auto"/>
          <w:kern w:val="2"/>
          <w:sz w:val="21"/>
          <w:lang w:val="en-US" w:bidi="ar-SA"/>
        </w:rPr>
        <w:t>中标人</w:t>
      </w:r>
      <w:r>
        <w:rPr>
          <w:rFonts w:hint="eastAsia" w:ascii="Calibri" w:hAnsi="Calibri" w:cs="黑体"/>
          <w:color w:val="auto"/>
          <w:kern w:val="2"/>
          <w:sz w:val="21"/>
          <w:lang w:val="en-US" w:bidi="ar-SA"/>
        </w:rPr>
        <w:t>在工程施工期间，须严格遵守政府职能部门的各项规章制</w:t>
      </w:r>
      <w:r>
        <w:rPr>
          <w:rFonts w:hint="eastAsia" w:ascii="Calibri" w:hAnsi="Calibri" w:cs="黑体"/>
          <w:kern w:val="2"/>
          <w:sz w:val="21"/>
          <w:lang w:val="en-US" w:bidi="ar-SA"/>
        </w:rPr>
        <w:t>度，由于管理不善，导致政府职能部门的罚款和停工整改，由其发生的费用与损失由</w:t>
      </w:r>
      <w:r>
        <w:rPr>
          <w:rFonts w:hint="eastAsia" w:cs="黑体"/>
          <w:kern w:val="2"/>
          <w:sz w:val="21"/>
          <w:lang w:val="en-US" w:bidi="ar-SA"/>
        </w:rPr>
        <w:t>中标人</w:t>
      </w:r>
      <w:r>
        <w:rPr>
          <w:rFonts w:hint="eastAsia" w:ascii="Calibri" w:hAnsi="Calibri" w:cs="黑体"/>
          <w:kern w:val="2"/>
          <w:sz w:val="21"/>
          <w:lang w:val="en-US" w:bidi="ar-SA"/>
        </w:rPr>
        <w:t>自行承担。</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（4）</w:t>
      </w:r>
      <w:r>
        <w:rPr>
          <w:rFonts w:hint="eastAsia" w:cs="黑体"/>
          <w:kern w:val="2"/>
          <w:sz w:val="21"/>
          <w:lang w:val="en-US" w:bidi="ar-SA"/>
        </w:rPr>
        <w:t>投标人</w:t>
      </w:r>
      <w:r>
        <w:rPr>
          <w:rFonts w:hint="eastAsia" w:ascii="Calibri" w:hAnsi="Calibri" w:cs="黑体"/>
          <w:kern w:val="2"/>
          <w:sz w:val="21"/>
          <w:lang w:val="en-US" w:bidi="ar-SA"/>
        </w:rPr>
        <w:t xml:space="preserve">在工程施工期间须配备项目驻场项目经理、专职安全员，建立健全安全制度。 </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（5）</w:t>
      </w:r>
      <w:r>
        <w:rPr>
          <w:rFonts w:hint="eastAsia" w:cs="黑体"/>
          <w:kern w:val="2"/>
          <w:sz w:val="21"/>
          <w:lang w:val="en-US" w:bidi="ar-SA"/>
        </w:rPr>
        <w:t>投标人</w:t>
      </w:r>
      <w:r>
        <w:rPr>
          <w:rFonts w:hint="eastAsia" w:ascii="Calibri" w:hAnsi="Calibri" w:cs="黑体"/>
          <w:kern w:val="2"/>
          <w:sz w:val="21"/>
          <w:lang w:val="en-US" w:bidi="ar-SA"/>
        </w:rPr>
        <w:t>在施工期间，承诺必须建立施工安全用电制度，确保施工用电设备的完好无损， 并设置漏电保护装置。</w:t>
      </w:r>
    </w:p>
    <w:p>
      <w:pPr>
        <w:autoSpaceDE/>
        <w:autoSpaceDN/>
        <w:spacing w:line="360" w:lineRule="auto"/>
        <w:rPr>
          <w:rFonts w:ascii="Calibri" w:hAnsi="Calibri" w:cs="黑体"/>
          <w:kern w:val="2"/>
          <w:sz w:val="21"/>
          <w:lang w:val="en-US" w:bidi="ar-SA"/>
        </w:rPr>
      </w:pPr>
      <w:r>
        <w:rPr>
          <w:rFonts w:hint="eastAsia" w:ascii="Calibri" w:hAnsi="Calibri" w:cs="黑体"/>
          <w:kern w:val="2"/>
          <w:sz w:val="21"/>
          <w:lang w:val="en-US" w:bidi="ar-SA"/>
        </w:rPr>
        <w:t>（6）本工程项目的材料、设备、施工须接受采购人或委托的监理单位对材料质量现场抽检。</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（7）</w:t>
      </w:r>
      <w:r>
        <w:rPr>
          <w:rFonts w:hint="eastAsia" w:cs="黑体"/>
          <w:kern w:val="2"/>
          <w:sz w:val="21"/>
          <w:lang w:val="en-US" w:bidi="ar-SA"/>
        </w:rPr>
        <w:t>投标人</w:t>
      </w:r>
      <w:r>
        <w:rPr>
          <w:rFonts w:hint="eastAsia" w:ascii="Calibri" w:hAnsi="Calibri" w:cs="黑体"/>
          <w:kern w:val="2"/>
          <w:sz w:val="21"/>
          <w:lang w:val="en-US" w:bidi="ar-SA"/>
        </w:rPr>
        <w:t>自行解决工人宿舍用地、食堂与生活设施等场地问题。</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（8）施工用水、用电由采购人指定驳接点，由</w:t>
      </w:r>
      <w:r>
        <w:rPr>
          <w:rFonts w:hint="eastAsia" w:cs="黑体"/>
          <w:kern w:val="2"/>
          <w:sz w:val="21"/>
          <w:lang w:val="en-US" w:bidi="ar-SA"/>
        </w:rPr>
        <w:t>中标人</w:t>
      </w:r>
      <w:r>
        <w:rPr>
          <w:rFonts w:hint="eastAsia" w:ascii="Calibri" w:hAnsi="Calibri" w:cs="黑体"/>
          <w:kern w:val="2"/>
          <w:sz w:val="21"/>
          <w:lang w:val="en-US" w:bidi="ar-SA"/>
        </w:rPr>
        <w:t>自行布线管。</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（9）</w:t>
      </w:r>
      <w:r>
        <w:rPr>
          <w:rFonts w:hint="eastAsia" w:cs="黑体"/>
          <w:kern w:val="2"/>
          <w:sz w:val="21"/>
          <w:lang w:val="en-US" w:bidi="ar-SA"/>
        </w:rPr>
        <w:t>投标人</w:t>
      </w:r>
      <w:r>
        <w:rPr>
          <w:rFonts w:hint="eastAsia" w:ascii="Calibri" w:hAnsi="Calibri" w:cs="黑体"/>
          <w:kern w:val="2"/>
          <w:sz w:val="21"/>
          <w:lang w:val="en-US" w:bidi="ar-SA"/>
        </w:rPr>
        <w:t>承诺建筑垃圾须及时清运干净，施工过程中应采取必要的有效措施减少对采购人单位进出人员的生活、工作造成的影响，并确保各方人员的安全，施工区域内由于</w:t>
      </w:r>
      <w:r>
        <w:rPr>
          <w:rFonts w:hint="eastAsia" w:cs="黑体"/>
          <w:kern w:val="2"/>
          <w:sz w:val="21"/>
          <w:lang w:val="en-US" w:bidi="ar-SA"/>
        </w:rPr>
        <w:t>中标人</w:t>
      </w:r>
      <w:r>
        <w:rPr>
          <w:rFonts w:hint="eastAsia" w:ascii="Calibri" w:hAnsi="Calibri" w:cs="黑体"/>
          <w:kern w:val="2"/>
          <w:sz w:val="21"/>
          <w:lang w:val="en-US" w:bidi="ar-SA"/>
        </w:rPr>
        <w:t>的造成的一切人员的伤亡，均由</w:t>
      </w:r>
      <w:r>
        <w:rPr>
          <w:rFonts w:hint="eastAsia" w:cs="黑体"/>
          <w:kern w:val="2"/>
          <w:sz w:val="21"/>
          <w:lang w:val="en-US" w:bidi="ar-SA"/>
        </w:rPr>
        <w:t>中标人</w:t>
      </w:r>
      <w:r>
        <w:rPr>
          <w:rFonts w:hint="eastAsia" w:ascii="Calibri" w:hAnsi="Calibri" w:cs="黑体"/>
          <w:kern w:val="2"/>
          <w:sz w:val="21"/>
          <w:lang w:val="en-US" w:bidi="ar-SA"/>
        </w:rPr>
        <w:t>承担由此产生的一切赔偿等后果。</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（10）承诺施工队伍须接受现场管理单位的监督、管理和指导，无条件遵守采购人的各项规定。</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（11）施工所用的机械工具由施工队伍自备及自费运到施工工地，进场后进行必要的性能安全检查，完工后从工地自费搬出运走，施工所用的材料及机械工具 由采购人提供适当的场所存放并由施工队伍自行保管，不得随便存放，以免造成不必要的丢失、损坏。</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w:t>
      </w:r>
      <w:r>
        <w:rPr>
          <w:rFonts w:hint="eastAsia" w:cs="黑体"/>
          <w:kern w:val="2"/>
          <w:sz w:val="21"/>
          <w:lang w:val="en-US" w:bidi="ar-SA"/>
        </w:rPr>
        <w:t>2</w:t>
      </w:r>
      <w:r>
        <w:rPr>
          <w:rFonts w:hint="eastAsia" w:ascii="Calibri" w:hAnsi="Calibri" w:cs="黑体"/>
          <w:kern w:val="2"/>
          <w:sz w:val="21"/>
          <w:lang w:val="en-US" w:bidi="ar-SA"/>
        </w:rPr>
        <w:t>）</w:t>
      </w:r>
      <w:r>
        <w:rPr>
          <w:rFonts w:hint="eastAsia" w:cs="黑体"/>
          <w:kern w:val="2"/>
          <w:sz w:val="21"/>
          <w:lang w:val="en-US" w:bidi="ar-SA"/>
        </w:rPr>
        <w:t>中标人</w:t>
      </w:r>
      <w:r>
        <w:rPr>
          <w:rFonts w:hint="eastAsia" w:ascii="Calibri" w:hAnsi="Calibri" w:cs="黑体"/>
          <w:kern w:val="2"/>
          <w:sz w:val="21"/>
          <w:lang w:val="en-US" w:bidi="ar-SA"/>
        </w:rPr>
        <w:t>在施工期间应严格遵守国家、省、市有关防火、防爆和施工安全以及文明施工要求，深夜施工、环卫、治安与城 管等规定，应建立规章制度和防护、防范措施，并承担由于自身措施不力造成事故责任和发生的费用。</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w:t>
      </w:r>
      <w:r>
        <w:rPr>
          <w:rFonts w:hint="eastAsia" w:cs="黑体"/>
          <w:kern w:val="2"/>
          <w:sz w:val="21"/>
          <w:lang w:val="en-US" w:bidi="ar-SA"/>
        </w:rPr>
        <w:t>3</w:t>
      </w:r>
      <w:r>
        <w:rPr>
          <w:rFonts w:hint="eastAsia" w:ascii="Calibri" w:hAnsi="Calibri" w:cs="黑体"/>
          <w:kern w:val="2"/>
          <w:sz w:val="21"/>
          <w:lang w:val="en-US" w:bidi="ar-SA"/>
        </w:rPr>
        <w:t>）</w:t>
      </w:r>
      <w:r>
        <w:rPr>
          <w:rFonts w:hint="eastAsia" w:cs="黑体"/>
          <w:kern w:val="2"/>
          <w:sz w:val="21"/>
          <w:lang w:val="en-US" w:bidi="ar-SA"/>
        </w:rPr>
        <w:t>中标人</w:t>
      </w:r>
      <w:r>
        <w:rPr>
          <w:rFonts w:hint="eastAsia" w:ascii="Calibri" w:hAnsi="Calibri" w:cs="黑体"/>
          <w:kern w:val="2"/>
          <w:sz w:val="21"/>
          <w:lang w:val="en-US" w:bidi="ar-SA"/>
        </w:rPr>
        <w:t>所提供的资料须属实，如发现虚假资料，采购人有权单方面终止合同，工程项目将另行处理，由此而造成的经济损失由</w:t>
      </w:r>
      <w:r>
        <w:rPr>
          <w:rFonts w:hint="eastAsia" w:cs="黑体"/>
          <w:kern w:val="2"/>
          <w:sz w:val="21"/>
          <w:lang w:val="en-US" w:bidi="ar-SA"/>
        </w:rPr>
        <w:t>中标人</w:t>
      </w:r>
      <w:r>
        <w:rPr>
          <w:rFonts w:hint="eastAsia" w:ascii="Calibri" w:hAnsi="Calibri" w:cs="黑体"/>
          <w:kern w:val="2"/>
          <w:sz w:val="21"/>
          <w:lang w:val="en-US" w:bidi="ar-SA"/>
        </w:rPr>
        <w:t>负责赔偿。</w:t>
      </w:r>
    </w:p>
    <w:p>
      <w:pPr>
        <w:autoSpaceDE/>
        <w:autoSpaceDN/>
        <w:spacing w:line="360" w:lineRule="auto"/>
        <w:rPr>
          <w:rFonts w:hint="eastAsia" w:ascii="Calibri" w:hAnsi="Calibri" w:cs="黑体"/>
          <w:kern w:val="2"/>
          <w:sz w:val="21"/>
          <w:lang w:val="en-US" w:bidi="ar-SA"/>
        </w:rPr>
      </w:pPr>
      <w:r>
        <w:rPr>
          <w:rFonts w:hint="eastAsia" w:ascii="Calibri" w:hAnsi="Calibri" w:cs="黑体"/>
          <w:kern w:val="2"/>
          <w:sz w:val="21"/>
          <w:lang w:val="en-US" w:bidi="ar-SA"/>
        </w:rPr>
        <w:t>（1</w:t>
      </w:r>
      <w:r>
        <w:rPr>
          <w:rFonts w:hint="eastAsia" w:cs="黑体"/>
          <w:kern w:val="2"/>
          <w:sz w:val="21"/>
          <w:lang w:val="en-US" w:bidi="ar-SA"/>
        </w:rPr>
        <w:t>4</w:t>
      </w:r>
      <w:r>
        <w:rPr>
          <w:rFonts w:hint="eastAsia" w:ascii="Calibri" w:hAnsi="Calibri" w:cs="黑体"/>
          <w:kern w:val="2"/>
          <w:sz w:val="21"/>
          <w:lang w:val="en-US" w:bidi="ar-SA"/>
        </w:rPr>
        <w:t>）本项目</w:t>
      </w:r>
      <w:r>
        <w:rPr>
          <w:rFonts w:hint="eastAsia" w:cs="黑体"/>
          <w:kern w:val="2"/>
          <w:sz w:val="21"/>
          <w:lang w:val="en-US" w:bidi="ar-SA"/>
        </w:rPr>
        <w:t>中标人</w:t>
      </w:r>
      <w:r>
        <w:rPr>
          <w:rFonts w:hint="eastAsia" w:ascii="Calibri" w:hAnsi="Calibri" w:cs="黑体"/>
          <w:kern w:val="2"/>
          <w:sz w:val="21"/>
          <w:lang w:val="en-US" w:bidi="ar-SA"/>
        </w:rPr>
        <w:t>须按工期要求竣工并通过验收。</w:t>
      </w:r>
    </w:p>
    <w:p>
      <w:pPr>
        <w:autoSpaceDE/>
        <w:autoSpaceDN/>
        <w:spacing w:line="360" w:lineRule="auto"/>
        <w:rPr>
          <w:rFonts w:hint="eastAsia"/>
          <w:b/>
          <w:bCs/>
          <w:color w:val="auto"/>
          <w:lang w:val="en-US"/>
        </w:rPr>
      </w:pPr>
      <w:r>
        <w:rPr>
          <w:rFonts w:hint="eastAsia"/>
          <w:b/>
          <w:bCs/>
          <w:color w:val="auto"/>
          <w:lang w:val="en-US"/>
        </w:rPr>
        <w:t>四、付款方式</w:t>
      </w:r>
    </w:p>
    <w:bookmarkEnd w:id="0"/>
    <w:bookmarkEnd w:id="1"/>
    <w:bookmarkEnd w:id="2"/>
    <w:bookmarkEnd w:id="3"/>
    <w:bookmarkEnd w:id="4"/>
    <w:bookmarkEnd w:id="5"/>
    <w:p>
      <w:pPr>
        <w:autoSpaceDE/>
        <w:autoSpaceDN/>
        <w:spacing w:line="360" w:lineRule="auto"/>
        <w:ind w:firstLine="420" w:firstLineChars="200"/>
        <w:rPr>
          <w:rFonts w:hint="eastAsia" w:ascii="Calibri" w:hAnsi="Calibri" w:eastAsia="宋体" w:cs="黑体"/>
          <w:color w:val="auto"/>
          <w:kern w:val="2"/>
          <w:sz w:val="21"/>
          <w:lang w:val="en-US" w:bidi="ar-SA"/>
        </w:rPr>
      </w:pPr>
      <w:r>
        <w:rPr>
          <w:rFonts w:hint="eastAsia" w:ascii="Calibri" w:hAnsi="Calibri" w:eastAsia="宋体" w:cs="黑体"/>
          <w:color w:val="auto"/>
          <w:kern w:val="2"/>
          <w:sz w:val="21"/>
          <w:lang w:val="en-US" w:eastAsia="zh-CN" w:bidi="ar-SA"/>
        </w:rPr>
        <w:t>中山市人民政府正加快推进全市</w:t>
      </w:r>
      <w:r>
        <w:rPr>
          <w:rFonts w:hint="eastAsia" w:ascii="Calibri" w:hAnsi="Calibri" w:eastAsia="宋体" w:cs="黑体"/>
          <w:color w:val="auto"/>
          <w:kern w:val="2"/>
          <w:sz w:val="21"/>
          <w:lang w:val="en-US" w:bidi="ar-SA"/>
        </w:rPr>
        <w:t>排水厂网一体化管理</w:t>
      </w:r>
      <w:r>
        <w:rPr>
          <w:rFonts w:hint="eastAsia" w:ascii="Calibri" w:hAnsi="Calibri" w:eastAsia="宋体" w:cs="黑体"/>
          <w:color w:val="auto"/>
          <w:kern w:val="2"/>
          <w:sz w:val="21"/>
          <w:lang w:val="en-US" w:eastAsia="zh-CN" w:bidi="ar-SA"/>
        </w:rPr>
        <w:t>体制机制改革，</w:t>
      </w:r>
      <w:r>
        <w:rPr>
          <w:rFonts w:hint="eastAsia" w:ascii="Calibri" w:hAnsi="Calibri" w:eastAsia="宋体" w:cs="黑体"/>
          <w:color w:val="auto"/>
          <w:kern w:val="2"/>
          <w:sz w:val="21"/>
          <w:lang w:val="en-US" w:bidi="ar-SA"/>
        </w:rPr>
        <w:t>若本项目因</w:t>
      </w:r>
      <w:r>
        <w:rPr>
          <w:rFonts w:hint="eastAsia" w:ascii="Calibri" w:hAnsi="Calibri" w:eastAsia="宋体" w:cs="黑体"/>
          <w:color w:val="auto"/>
          <w:kern w:val="2"/>
          <w:sz w:val="21"/>
          <w:lang w:val="en-US" w:eastAsia="zh-CN" w:bidi="ar-SA"/>
        </w:rPr>
        <w:t>全市排水</w:t>
      </w:r>
      <w:r>
        <w:rPr>
          <w:rFonts w:hint="eastAsia" w:ascii="Calibri" w:hAnsi="Calibri" w:eastAsia="宋体" w:cs="黑体"/>
          <w:color w:val="auto"/>
          <w:kern w:val="2"/>
          <w:sz w:val="21"/>
          <w:lang w:val="en-US" w:bidi="ar-SA"/>
        </w:rPr>
        <w:t>厂网一体化等项目中止，则设备改造费用纳入</w:t>
      </w:r>
      <w:r>
        <w:rPr>
          <w:rFonts w:hint="eastAsia" w:ascii="Calibri" w:hAnsi="Calibri" w:eastAsia="宋体" w:cs="黑体"/>
          <w:color w:val="auto"/>
          <w:kern w:val="2"/>
          <w:sz w:val="21"/>
          <w:lang w:val="en-US" w:eastAsia="zh-CN" w:bidi="ar-SA"/>
        </w:rPr>
        <w:t>全市排水</w:t>
      </w:r>
      <w:r>
        <w:rPr>
          <w:rFonts w:hint="eastAsia" w:ascii="Calibri" w:hAnsi="Calibri" w:eastAsia="宋体" w:cs="黑体"/>
          <w:color w:val="auto"/>
          <w:kern w:val="2"/>
          <w:sz w:val="21"/>
          <w:lang w:val="en-US" w:bidi="ar-SA"/>
        </w:rPr>
        <w:t>厂网一体化等项目中一并考虑</w:t>
      </w:r>
      <w:r>
        <w:rPr>
          <w:rFonts w:hint="eastAsia" w:ascii="Calibri" w:hAnsi="Calibri" w:eastAsia="宋体" w:cs="黑体"/>
          <w:color w:val="auto"/>
          <w:kern w:val="2"/>
          <w:sz w:val="21"/>
          <w:lang w:val="en-US" w:eastAsia="zh-CN" w:bidi="ar-SA"/>
        </w:rPr>
        <w:t>，</w:t>
      </w:r>
      <w:r>
        <w:rPr>
          <w:rFonts w:hint="eastAsia" w:ascii="Calibri" w:hAnsi="Calibri" w:eastAsia="宋体" w:cs="黑体"/>
          <w:color w:val="auto"/>
          <w:kern w:val="2"/>
          <w:sz w:val="21"/>
          <w:lang w:val="en-US" w:bidi="ar-SA"/>
        </w:rPr>
        <w:t>由中山市排水厂网一体化管理项目的中标单位进行支付。</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cwNTkzMmFlN2NkMzc0NTEzNzFjYjk2NjNhMTkifQ=="/>
  </w:docVars>
  <w:rsids>
    <w:rsidRoot w:val="00000000"/>
    <w:rsid w:val="0B6D4E7E"/>
    <w:rsid w:val="44CE14A1"/>
    <w:rsid w:val="48A0396D"/>
    <w:rsid w:val="4D1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qFormat/>
    <w:uiPriority w:val="1"/>
    <w:pPr>
      <w:spacing w:before="62"/>
      <w:ind w:left="100"/>
      <w:outlineLvl w:val="3"/>
    </w:pPr>
    <w:rPr>
      <w:b/>
      <w:bCs/>
      <w:sz w:val="2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toc 5"/>
    <w:basedOn w:val="1"/>
    <w:next w:val="1"/>
    <w:qFormat/>
    <w:uiPriority w:val="0"/>
    <w:pPr>
      <w:ind w:left="1680" w:leftChars="800"/>
      <w:jc w:val="both"/>
    </w:pPr>
    <w:rPr>
      <w:kern w:val="2"/>
      <w:szCs w:val="24"/>
    </w:rPr>
  </w:style>
  <w:style w:type="paragraph" w:styleId="6">
    <w:name w:val="annotation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11435</Words>
  <Characters>13087</Characters>
  <Lines>0</Lines>
  <Paragraphs>0</Paragraphs>
  <TotalTime>0</TotalTime>
  <ScaleCrop>false</ScaleCrop>
  <LinksUpToDate>false</LinksUpToDate>
  <CharactersWithSpaces>13630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2022-06-01T06:12:00Z</dcterms:created>
  <dc:creator>Administrator</dc:creator>
  <cp:lastModifiedBy>YOYO</cp:lastModifiedBy>
  <dcterms:modified xsi:type="dcterms:W3CDTF">2022-06-01T07:20:00Z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9CED729F1CF846DDB1E79976697AB9F7</vt:lpwstr>
  </property>
</Properties>
</file>